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15242" w14:textId="77777777" w:rsidR="00BF3230" w:rsidRPr="003A72DD" w:rsidRDefault="00BF3230" w:rsidP="00F50809">
      <w:pPr>
        <w:pStyle w:val="Title"/>
      </w:pPr>
      <w:r w:rsidRPr="00F50809">
        <w:t>Memorandum</w:t>
      </w:r>
    </w:p>
    <w:p w14:paraId="013D90E3" w14:textId="570A1488" w:rsidR="003A72DD" w:rsidRPr="00F50809" w:rsidRDefault="00BC12BE" w:rsidP="00F50809">
      <w:r>
        <w:fldChar w:fldCharType="begin">
          <w:ffData>
            <w:name w:val=""/>
            <w:enabled w:val="0"/>
            <w:calcOnExit w:val="0"/>
            <w:textInput>
              <w:type w:val="currentTime"/>
              <w:format w:val="MMMM d, yyyy"/>
            </w:textInput>
          </w:ffData>
        </w:fldChar>
      </w:r>
      <w:r>
        <w:instrText xml:space="preserve"> FORMTEXT </w:instrText>
      </w:r>
      <w:r>
        <w:fldChar w:fldCharType="begin"/>
      </w:r>
      <w:r>
        <w:instrText xml:space="preserve"> TIME \@ "MMMM d, yyyy" </w:instrText>
      </w:r>
      <w:r>
        <w:fldChar w:fldCharType="separate"/>
      </w:r>
      <w:r w:rsidR="005944AD">
        <w:rPr>
          <w:noProof/>
        </w:rPr>
        <w:instrText>January 20, 2015</w:instrText>
      </w:r>
      <w:r>
        <w:fldChar w:fldCharType="end"/>
      </w:r>
      <w:r>
        <w:fldChar w:fldCharType="separate"/>
      </w:r>
      <w:r w:rsidR="004D72F2">
        <w:rPr>
          <w:noProof/>
        </w:rPr>
        <w:t>December 31, 2013</w:t>
      </w:r>
      <w:r>
        <w:fldChar w:fldCharType="end"/>
      </w:r>
    </w:p>
    <w:p w14:paraId="31EBFEF3" w14:textId="478DFB6C" w:rsidR="00BF3230" w:rsidRPr="00F50809" w:rsidRDefault="00BF3230" w:rsidP="00ED0564">
      <w:pPr>
        <w:pStyle w:val="Header"/>
      </w:pPr>
      <w:r w:rsidRPr="00CF5590">
        <w:rPr>
          <w:rStyle w:val="AllCaps"/>
        </w:rPr>
        <w:t>To</w:t>
      </w:r>
      <w:r w:rsidRPr="00F50809">
        <w:rPr>
          <w:rStyle w:val="AllCaps"/>
        </w:rPr>
        <w:t>:</w:t>
      </w:r>
      <w:r w:rsidRPr="00F50809">
        <w:t xml:space="preserve"> </w:t>
      </w:r>
      <w:r w:rsidR="00ED0564">
        <w:tab/>
      </w:r>
      <w:r w:rsidR="005944AD">
        <w:t>XXX, senior manager of planning</w:t>
      </w:r>
      <w:r w:rsidR="003A72DD" w:rsidRPr="00F50809">
        <w:tab/>
      </w:r>
      <w:r w:rsidR="003A72DD" w:rsidRPr="00F50809">
        <w:tab/>
      </w:r>
    </w:p>
    <w:p w14:paraId="45A089BE" w14:textId="28D4F022" w:rsidR="00BF3230" w:rsidRPr="00F50809" w:rsidRDefault="00BF3230" w:rsidP="00ED0564">
      <w:pPr>
        <w:pStyle w:val="Header"/>
      </w:pPr>
      <w:r w:rsidRPr="00F50809">
        <w:rPr>
          <w:rStyle w:val="AllCaps"/>
        </w:rPr>
        <w:t>From:</w:t>
      </w:r>
      <w:r w:rsidRPr="00F50809">
        <w:t xml:space="preserve"> </w:t>
      </w:r>
      <w:r w:rsidR="00ED0564">
        <w:tab/>
        <w:t>Cedric Justice</w:t>
      </w:r>
      <w:r w:rsidR="003A72DD" w:rsidRPr="00F50809">
        <w:tab/>
      </w:r>
    </w:p>
    <w:p w14:paraId="03944F2A" w14:textId="332EC089" w:rsidR="0029250B" w:rsidRDefault="00BF3230" w:rsidP="00444DE3">
      <w:pPr>
        <w:pStyle w:val="Header"/>
      </w:pPr>
      <w:r w:rsidRPr="00F50809">
        <w:rPr>
          <w:rStyle w:val="AllCaps"/>
        </w:rPr>
        <w:t>Subject</w:t>
      </w:r>
      <w:r w:rsidRPr="00F50809">
        <w:t>:</w:t>
      </w:r>
      <w:r w:rsidR="003A72DD" w:rsidRPr="00F50809">
        <w:tab/>
      </w:r>
      <w:r w:rsidR="00ED0564">
        <w:t>Existing Building Retrofits (EBR) and code overlap projections</w:t>
      </w:r>
    </w:p>
    <w:p w14:paraId="101C32F2" w14:textId="56CE57F0" w:rsidR="00ED0564" w:rsidRPr="001214CE" w:rsidRDefault="00ED0564" w:rsidP="00ED0564">
      <w:r w:rsidRPr="001C0C24">
        <w:t xml:space="preserve">I was asked to determine the </w:t>
      </w:r>
      <w:r w:rsidRPr="00444DE3">
        <w:rPr>
          <w:b/>
          <w:bCs/>
        </w:rPr>
        <w:t xml:space="preserve">impact of codes on estimates of Existing Building Retrofits (EBR) savings </w:t>
      </w:r>
      <w:r>
        <w:t>and determine the above-code value of the initiative</w:t>
      </w:r>
      <w:r w:rsidRPr="001C0C24">
        <w:t>.</w:t>
      </w:r>
      <w:r>
        <w:t xml:space="preserve"> </w:t>
      </w:r>
      <w:r w:rsidRPr="00756EAC">
        <w:t xml:space="preserve">This memo provides </w:t>
      </w:r>
      <w:r w:rsidRPr="001214CE">
        <w:t xml:space="preserve">background, discusses how </w:t>
      </w:r>
      <w:r w:rsidR="00444DE3">
        <w:t xml:space="preserve">I approached </w:t>
      </w:r>
      <w:r w:rsidRPr="001214CE">
        <w:t xml:space="preserve">this topic, what assumptions </w:t>
      </w:r>
      <w:r w:rsidR="00444DE3">
        <w:t>I</w:t>
      </w:r>
      <w:r w:rsidRPr="001214CE">
        <w:t xml:space="preserve"> made</w:t>
      </w:r>
      <w:r w:rsidR="00844174">
        <w:t>,</w:t>
      </w:r>
      <w:r w:rsidRPr="001214CE">
        <w:t xml:space="preserve"> and provides </w:t>
      </w:r>
      <w:r w:rsidR="00444DE3">
        <w:t xml:space="preserve">the </w:t>
      </w:r>
      <w:r w:rsidRPr="001214CE">
        <w:t>preliminary results</w:t>
      </w:r>
      <w:r>
        <w:t xml:space="preserve"> of the analysis</w:t>
      </w:r>
      <w:r w:rsidRPr="001214CE">
        <w:t>.</w:t>
      </w:r>
    </w:p>
    <w:p w14:paraId="6FF69907" w14:textId="6E1258AC" w:rsidR="00844174" w:rsidRPr="00844174" w:rsidRDefault="001F0E92" w:rsidP="00844174">
      <w:pPr>
        <w:pStyle w:val="Heading1"/>
        <w:rPr>
          <w:noProof/>
        </w:rPr>
      </w:pPr>
      <w:r>
        <w:rPr>
          <w:noProof/>
        </w:rPr>
        <w:t>Results of the Analysis</w:t>
      </w:r>
    </w:p>
    <w:p w14:paraId="7E5FB35D" w14:textId="799D17E9" w:rsidR="0039265C" w:rsidRDefault="00844174" w:rsidP="00844174">
      <w:r>
        <w:t xml:space="preserve">The </w:t>
      </w:r>
      <w:r w:rsidR="00B8246B">
        <w:rPr>
          <w:b/>
          <w:bCs/>
        </w:rPr>
        <w:t>Q3 2013</w:t>
      </w:r>
      <w:r w:rsidRPr="00015649">
        <w:rPr>
          <w:b/>
          <w:bCs/>
        </w:rPr>
        <w:t xml:space="preserve"> EBR</w:t>
      </w:r>
      <w:r>
        <w:t xml:space="preserve"> model claims </w:t>
      </w:r>
      <w:r w:rsidR="0039265C">
        <w:rPr>
          <w:b/>
          <w:bCs/>
        </w:rPr>
        <w:t>30.7</w:t>
      </w:r>
      <w:r w:rsidRPr="00022A5D">
        <w:rPr>
          <w:b/>
          <w:bCs/>
        </w:rPr>
        <w:t xml:space="preserve"> aMW</w:t>
      </w:r>
      <w:r>
        <w:t xml:space="preserve"> over twenty years. </w:t>
      </w:r>
      <w:r w:rsidR="00D84E67">
        <w:t xml:space="preserve">For the sake of this analysis, our starting point is </w:t>
      </w:r>
      <w:r w:rsidR="00395FE2">
        <w:rPr>
          <w:b/>
          <w:bCs/>
        </w:rPr>
        <w:t>49.4</w:t>
      </w:r>
      <w:r w:rsidR="00D84E67">
        <w:rPr>
          <w:b/>
          <w:bCs/>
        </w:rPr>
        <w:t xml:space="preserve"> aMW</w:t>
      </w:r>
      <w:r w:rsidR="00D84E67">
        <w:t>, which reflects a larger market size and a savings rate that more accurately portrays the initiative logic.</w:t>
      </w:r>
    </w:p>
    <w:p w14:paraId="6DC330D7" w14:textId="2F544A67" w:rsidR="00C47375" w:rsidRDefault="00C47375" w:rsidP="00844174">
      <w:r>
        <w:t xml:space="preserve">With the assumptions I selected as well as the code-interactivity scenario I chose, my recommendation is to </w:t>
      </w:r>
      <w:r w:rsidRPr="00C47375">
        <w:rPr>
          <w:b/>
          <w:bCs/>
        </w:rPr>
        <w:t>reduce savings 3.0 aMW</w:t>
      </w:r>
      <w:r>
        <w:rPr>
          <w:b/>
          <w:bCs/>
        </w:rPr>
        <w:t xml:space="preserve"> due to code interactivity. </w:t>
      </w:r>
      <w:r>
        <w:t xml:space="preserve">This results in </w:t>
      </w:r>
      <w:r w:rsidRPr="00BC12BE">
        <w:rPr>
          <w:b/>
          <w:bCs/>
        </w:rPr>
        <w:t>46.4</w:t>
      </w:r>
      <w:r w:rsidR="00BC12BE" w:rsidRPr="00BC12BE">
        <w:rPr>
          <w:b/>
          <w:bCs/>
        </w:rPr>
        <w:t> </w:t>
      </w:r>
      <w:r w:rsidRPr="00BC12BE">
        <w:rPr>
          <w:b/>
          <w:bCs/>
        </w:rPr>
        <w:t>aMW</w:t>
      </w:r>
      <w:r>
        <w:t xml:space="preserve"> over twenty years</w:t>
      </w:r>
      <w:r w:rsidR="00BC12BE">
        <w:t xml:space="preserve">, but could be as low as 26.5 aMW if </w:t>
      </w:r>
      <w:r w:rsidR="005944AD">
        <w:t xml:space="preserve">we take </w:t>
      </w:r>
      <w:r w:rsidR="00BC12BE">
        <w:t>a strict code compliance tactic</w:t>
      </w:r>
      <w:r>
        <w:t>.</w:t>
      </w:r>
    </w:p>
    <w:p w14:paraId="26F1B6E7" w14:textId="77777777" w:rsidR="00C47375" w:rsidRDefault="00C47375">
      <w:pPr>
        <w:rPr>
          <w:smallCaps/>
          <w:noProof/>
          <w:sz w:val="28"/>
          <w:szCs w:val="28"/>
        </w:rPr>
      </w:pPr>
      <w:r>
        <w:rPr>
          <w:noProof/>
        </w:rPr>
        <w:br w:type="page"/>
      </w:r>
    </w:p>
    <w:p w14:paraId="07E5D77E" w14:textId="421B289C" w:rsidR="0029250B" w:rsidRDefault="00444DE3" w:rsidP="00D84E67">
      <w:pPr>
        <w:pStyle w:val="Heading2"/>
        <w:rPr>
          <w:noProof/>
        </w:rPr>
      </w:pPr>
      <w:r>
        <w:rPr>
          <w:noProof/>
        </w:rPr>
        <w:lastRenderedPageBreak/>
        <w:t>Assumption selection</w:t>
      </w:r>
    </w:p>
    <w:p w14:paraId="378A9E15" w14:textId="7BE66978" w:rsidR="00844174" w:rsidRDefault="00844174" w:rsidP="00844174">
      <w:r>
        <w:t>The most important parts of the analysis include the following assumptions:</w:t>
      </w:r>
    </w:p>
    <w:p w14:paraId="4BBBBA49" w14:textId="2133AAC5" w:rsidR="00844174" w:rsidRDefault="00844174" w:rsidP="00844174">
      <w:pPr>
        <w:pStyle w:val="ListParagraph"/>
        <w:numPr>
          <w:ilvl w:val="0"/>
          <w:numId w:val="15"/>
        </w:numPr>
      </w:pPr>
      <w:r>
        <w:t>Selection of market size</w:t>
      </w:r>
    </w:p>
    <w:p w14:paraId="71C8034E" w14:textId="47F9AC51" w:rsidR="00844174" w:rsidRDefault="00844174" w:rsidP="00844174">
      <w:pPr>
        <w:pStyle w:val="ListParagraph"/>
        <w:numPr>
          <w:ilvl w:val="0"/>
          <w:numId w:val="15"/>
        </w:numPr>
      </w:pPr>
      <w:r>
        <w:t>Selection of savings rate</w:t>
      </w:r>
    </w:p>
    <w:p w14:paraId="37DD830F" w14:textId="2597974A" w:rsidR="00844174" w:rsidRDefault="00844174" w:rsidP="00844174">
      <w:pPr>
        <w:pStyle w:val="ListParagraph"/>
        <w:numPr>
          <w:ilvl w:val="0"/>
          <w:numId w:val="15"/>
        </w:numPr>
      </w:pPr>
      <w:r>
        <w:t>The code applicability for the measures used</w:t>
      </w:r>
    </w:p>
    <w:p w14:paraId="7C1AA778" w14:textId="415CB232" w:rsidR="00844174" w:rsidRDefault="00844174" w:rsidP="00844174">
      <w:pPr>
        <w:pStyle w:val="ListParagraph"/>
        <w:numPr>
          <w:ilvl w:val="0"/>
          <w:numId w:val="15"/>
        </w:numPr>
      </w:pPr>
      <w:r>
        <w:t>The likelihood of a building owner doing this work without the influence of EBR</w:t>
      </w:r>
    </w:p>
    <w:p w14:paraId="2937163C" w14:textId="034D0AAF" w:rsidR="00844174" w:rsidRPr="00844174" w:rsidRDefault="00444DE3" w:rsidP="00844174">
      <w:pPr>
        <w:pStyle w:val="ListParagraph"/>
        <w:numPr>
          <w:ilvl w:val="0"/>
          <w:numId w:val="15"/>
        </w:numPr>
      </w:pPr>
      <w:r>
        <w:t>Whether building</w:t>
      </w:r>
      <w:r w:rsidR="00844174">
        <w:t xml:space="preserve"> owners consider building energy systems in </w:t>
      </w:r>
      <w:r w:rsidR="0039265C">
        <w:t>a typical, high-dollar retrofit</w:t>
      </w:r>
    </w:p>
    <w:p w14:paraId="6DD2AEF4" w14:textId="2E11CD2A" w:rsidR="00D84E67" w:rsidRDefault="00103CE3" w:rsidP="00103CE3">
      <w:r w:rsidRPr="00444DE3">
        <w:rPr>
          <w:b/>
          <w:bCs/>
        </w:rPr>
        <w:t>I have included an appendix</w:t>
      </w:r>
      <w:r w:rsidR="00C47375">
        <w:rPr>
          <w:b/>
          <w:bCs/>
        </w:rPr>
        <w:t xml:space="preserve"> </w:t>
      </w:r>
      <w:r w:rsidR="00C47375" w:rsidRPr="00C47375">
        <w:t xml:space="preserve">(see </w:t>
      </w:r>
      <w:r w:rsidR="00C47375" w:rsidRPr="00C47375">
        <w:fldChar w:fldCharType="begin"/>
      </w:r>
      <w:r w:rsidR="00C47375" w:rsidRPr="00C47375">
        <w:instrText xml:space="preserve"> REF _Ref376265108 \h </w:instrText>
      </w:r>
      <w:r w:rsidR="00C47375">
        <w:instrText xml:space="preserve"> \* MERGEFORMAT </w:instrText>
      </w:r>
      <w:r w:rsidR="00C47375" w:rsidRPr="00C47375">
        <w:fldChar w:fldCharType="separate"/>
      </w:r>
      <w:r w:rsidR="004D72F2">
        <w:t>Appendix A</w:t>
      </w:r>
      <w:r w:rsidR="00C47375" w:rsidRPr="00C47375">
        <w:fldChar w:fldCharType="end"/>
      </w:r>
      <w:r w:rsidR="00C47375" w:rsidRPr="00C47375">
        <w:t>)</w:t>
      </w:r>
      <w:r w:rsidRPr="00C47375">
        <w:t xml:space="preserve"> </w:t>
      </w:r>
      <w:r>
        <w:t xml:space="preserve">that outlines the key assumptions used in the model.  In it, I discuss each component I chose and why </w:t>
      </w:r>
      <w:r w:rsidR="00444DE3">
        <w:t>I</w:t>
      </w:r>
      <w:r>
        <w:t xml:space="preserve"> used </w:t>
      </w:r>
      <w:r w:rsidR="00444DE3">
        <w:t xml:space="preserve">it </w:t>
      </w:r>
      <w:r>
        <w:t>in the model.</w:t>
      </w:r>
      <w:r w:rsidR="00C47375">
        <w:t xml:space="preserve"> The following table is a summary of those choices, which led to the 49.4 aMW figure.</w:t>
      </w:r>
    </w:p>
    <w:p w14:paraId="41855629" w14:textId="3775B568" w:rsidR="00900FB5" w:rsidRDefault="00900FB5" w:rsidP="00900FB5">
      <w:pPr>
        <w:pStyle w:val="Caption"/>
        <w:keepNext/>
      </w:pPr>
      <w:bookmarkStart w:id="0" w:name="_Ref376261463"/>
      <w:r>
        <w:t xml:space="preserve">Table </w:t>
      </w:r>
      <w:r w:rsidR="00010C57">
        <w:fldChar w:fldCharType="begin"/>
      </w:r>
      <w:r w:rsidR="00010C57">
        <w:instrText xml:space="preserve"> SEQ Table \* ARABIC </w:instrText>
      </w:r>
      <w:r w:rsidR="00010C57">
        <w:fldChar w:fldCharType="separate"/>
      </w:r>
      <w:r w:rsidR="004D72F2">
        <w:rPr>
          <w:noProof/>
        </w:rPr>
        <w:t>1</w:t>
      </w:r>
      <w:r w:rsidR="00010C57">
        <w:rPr>
          <w:noProof/>
        </w:rPr>
        <w:fldChar w:fldCharType="end"/>
      </w:r>
      <w:bookmarkEnd w:id="0"/>
      <w:r>
        <w:t xml:space="preserve"> Chosen values: see Appendix for more detail</w:t>
      </w:r>
    </w:p>
    <w:tbl>
      <w:tblPr>
        <w:tblStyle w:val="MediumShading1-Accent1"/>
        <w:tblW w:w="5000" w:type="pct"/>
        <w:tblLook w:val="04A0" w:firstRow="1" w:lastRow="0" w:firstColumn="1" w:lastColumn="0" w:noHBand="0" w:noVBand="1"/>
      </w:tblPr>
      <w:tblGrid>
        <w:gridCol w:w="5810"/>
        <w:gridCol w:w="4054"/>
      </w:tblGrid>
      <w:tr w:rsidR="00D84E67" w14:paraId="5DE3C9FF" w14:textId="77777777" w:rsidTr="00900F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pct"/>
          </w:tcPr>
          <w:p w14:paraId="2E59D647" w14:textId="77777777" w:rsidR="00D84E67" w:rsidRDefault="00D84E67" w:rsidP="0034561C">
            <w:r>
              <w:t>Assumption</w:t>
            </w:r>
          </w:p>
        </w:tc>
        <w:tc>
          <w:tcPr>
            <w:tcW w:w="2055" w:type="pct"/>
          </w:tcPr>
          <w:p w14:paraId="2AAA2F42" w14:textId="77777777" w:rsidR="00D84E67" w:rsidRDefault="00D84E67" w:rsidP="0034561C">
            <w:pPr>
              <w:cnfStyle w:val="100000000000" w:firstRow="1" w:lastRow="0" w:firstColumn="0" w:lastColumn="0" w:oddVBand="0" w:evenVBand="0" w:oddHBand="0" w:evenHBand="0" w:firstRowFirstColumn="0" w:firstRowLastColumn="0" w:lastRowFirstColumn="0" w:lastRowLastColumn="0"/>
            </w:pPr>
            <w:r>
              <w:t>Chosen Value</w:t>
            </w:r>
          </w:p>
        </w:tc>
      </w:tr>
      <w:tr w:rsidR="00D84E67" w14:paraId="13D8F952" w14:textId="77777777" w:rsidTr="00900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pct"/>
          </w:tcPr>
          <w:p w14:paraId="06C92ADF" w14:textId="77777777" w:rsidR="00D84E67" w:rsidRDefault="00D84E67" w:rsidP="0034561C">
            <w:r>
              <w:t>Market Size</w:t>
            </w:r>
          </w:p>
        </w:tc>
        <w:tc>
          <w:tcPr>
            <w:tcW w:w="2055" w:type="pct"/>
          </w:tcPr>
          <w:p w14:paraId="146C2520" w14:textId="77777777" w:rsidR="00D84E67" w:rsidRDefault="00D84E67" w:rsidP="0034561C">
            <w:pPr>
              <w:cnfStyle w:val="000000100000" w:firstRow="0" w:lastRow="0" w:firstColumn="0" w:lastColumn="0" w:oddVBand="0" w:evenVBand="0" w:oddHBand="1" w:evenHBand="0" w:firstRowFirstColumn="0" w:firstRowLastColumn="0" w:lastRowFirstColumn="0" w:lastRowLastColumn="0"/>
            </w:pPr>
            <w:r>
              <w:t>204.2M ft</w:t>
            </w:r>
            <w:r>
              <w:rPr>
                <w:vertAlign w:val="superscript"/>
              </w:rPr>
              <w:t>2</w:t>
            </w:r>
          </w:p>
        </w:tc>
      </w:tr>
      <w:tr w:rsidR="00D84E67" w14:paraId="345BFB15" w14:textId="77777777" w:rsidTr="00900FB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pct"/>
          </w:tcPr>
          <w:p w14:paraId="05E17737" w14:textId="77777777" w:rsidR="00D84E67" w:rsidRDefault="00D84E67" w:rsidP="0034561C">
            <w:r>
              <w:t>Savings Rate</w:t>
            </w:r>
          </w:p>
        </w:tc>
        <w:tc>
          <w:tcPr>
            <w:tcW w:w="2055" w:type="pct"/>
          </w:tcPr>
          <w:p w14:paraId="7791EDC8" w14:textId="77777777" w:rsidR="00D84E67" w:rsidRDefault="00D84E67" w:rsidP="0034561C">
            <w:pPr>
              <w:cnfStyle w:val="000000010000" w:firstRow="0" w:lastRow="0" w:firstColumn="0" w:lastColumn="0" w:oddVBand="0" w:evenVBand="0" w:oddHBand="0" w:evenHBand="1" w:firstRowFirstColumn="0" w:firstRowLastColumn="0" w:lastRowFirstColumn="0" w:lastRowLastColumn="0"/>
            </w:pPr>
            <w:r>
              <w:t>U-shaped</w:t>
            </w:r>
            <w:r>
              <w:rPr>
                <w:rStyle w:val="FootnoteReference"/>
              </w:rPr>
              <w:footnoteReference w:id="1"/>
            </w:r>
          </w:p>
        </w:tc>
      </w:tr>
      <w:tr w:rsidR="00D84E67" w14:paraId="4E619AAE" w14:textId="77777777" w:rsidTr="00900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5" w:type="pct"/>
          </w:tcPr>
          <w:p w14:paraId="47BC1DFC" w14:textId="77777777" w:rsidR="00D84E67" w:rsidRDefault="00D84E67" w:rsidP="0034561C">
            <w:r>
              <w:t>EUI</w:t>
            </w:r>
          </w:p>
        </w:tc>
        <w:tc>
          <w:tcPr>
            <w:tcW w:w="2055" w:type="pct"/>
          </w:tcPr>
          <w:p w14:paraId="006F717E" w14:textId="77777777" w:rsidR="00D84E67" w:rsidRDefault="00D84E67" w:rsidP="0034561C">
            <w:pPr>
              <w:cnfStyle w:val="000000100000" w:firstRow="0" w:lastRow="0" w:firstColumn="0" w:lastColumn="0" w:oddVBand="0" w:evenVBand="0" w:oddHBand="1" w:evenHBand="0" w:firstRowFirstColumn="0" w:firstRowLastColumn="0" w:lastRowFirstColumn="0" w:lastRowLastColumn="0"/>
            </w:pPr>
            <w:r>
              <w:t>16.7, decreasing 3.5% per year</w:t>
            </w:r>
          </w:p>
        </w:tc>
      </w:tr>
    </w:tbl>
    <w:p w14:paraId="0AF163CE" w14:textId="3A746A74" w:rsidR="00D84E67" w:rsidRDefault="00900FB5" w:rsidP="00900FB5">
      <w:pPr>
        <w:pStyle w:val="Heading2"/>
      </w:pPr>
      <w:r>
        <w:t>Code Interactivity</w:t>
      </w:r>
    </w:p>
    <w:p w14:paraId="2283EEFF" w14:textId="77DD28D8" w:rsidR="00900FB5" w:rsidRDefault="00900FB5" w:rsidP="00900FB5">
      <w:r>
        <w:t xml:space="preserve">Using the information in </w:t>
      </w:r>
      <w:r>
        <w:fldChar w:fldCharType="begin"/>
      </w:r>
      <w:r>
        <w:instrText xml:space="preserve"> REF _Ref376261463 \h </w:instrText>
      </w:r>
      <w:r>
        <w:fldChar w:fldCharType="separate"/>
      </w:r>
      <w:r w:rsidR="004D72F2">
        <w:t xml:space="preserve">Table </w:t>
      </w:r>
      <w:r w:rsidR="004D72F2">
        <w:rPr>
          <w:noProof/>
        </w:rPr>
        <w:t>1</w:t>
      </w:r>
      <w:r>
        <w:fldChar w:fldCharType="end"/>
      </w:r>
      <w:r>
        <w:t>, there are several scenarios with respect to code interactivit</w:t>
      </w:r>
      <w:r w:rsidR="00D82531">
        <w:t>y that impact this initiative</w:t>
      </w:r>
      <w:r>
        <w:t xml:space="preserve">. </w:t>
      </w:r>
      <w:r w:rsidR="00395FE2">
        <w:t xml:space="preserve"> </w:t>
      </w:r>
      <w:r w:rsidR="00D82531">
        <w:t>The following table shows the range of values depending on how one interprets a</w:t>
      </w:r>
      <w:r w:rsidR="00E40672">
        <w:t>nd estimates code interactivity and includes my recommended scenario.</w:t>
      </w:r>
    </w:p>
    <w:p w14:paraId="06E8FA6B" w14:textId="218B24FE" w:rsidR="00AC78E3" w:rsidRDefault="00AC78E3" w:rsidP="00AC78E3">
      <w:pPr>
        <w:pStyle w:val="Caption"/>
        <w:keepNext/>
      </w:pPr>
      <w:r>
        <w:t xml:space="preserve">Table </w:t>
      </w:r>
      <w:r w:rsidR="00010C57">
        <w:fldChar w:fldCharType="begin"/>
      </w:r>
      <w:r w:rsidR="00010C57">
        <w:instrText xml:space="preserve"> SEQ Table \* ARABIC </w:instrText>
      </w:r>
      <w:r w:rsidR="00010C57">
        <w:fldChar w:fldCharType="separate"/>
      </w:r>
      <w:r w:rsidR="004D72F2">
        <w:rPr>
          <w:noProof/>
        </w:rPr>
        <w:t>2</w:t>
      </w:r>
      <w:r w:rsidR="00010C57">
        <w:rPr>
          <w:noProof/>
        </w:rPr>
        <w:fldChar w:fldCharType="end"/>
      </w:r>
      <w:r>
        <w:t xml:space="preserve"> Code interactivity scenarios</w:t>
      </w:r>
    </w:p>
    <w:tbl>
      <w:tblPr>
        <w:tblStyle w:val="MediumShading1-Accent1"/>
        <w:tblW w:w="5000" w:type="pct"/>
        <w:tblLook w:val="04A0" w:firstRow="1" w:lastRow="0" w:firstColumn="1" w:lastColumn="0" w:noHBand="0" w:noVBand="1"/>
      </w:tblPr>
      <w:tblGrid>
        <w:gridCol w:w="3191"/>
        <w:gridCol w:w="2225"/>
        <w:gridCol w:w="2225"/>
        <w:gridCol w:w="2223"/>
      </w:tblGrid>
      <w:tr w:rsidR="00AC78E3" w14:paraId="4EE927C1" w14:textId="4BDEEAD9" w:rsidTr="00AC78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pct"/>
          </w:tcPr>
          <w:p w14:paraId="4CB29AF4" w14:textId="6A4DEC31" w:rsidR="00AC78E3" w:rsidRDefault="00AC78E3" w:rsidP="0034561C">
            <w:r>
              <w:t>Scenario</w:t>
            </w:r>
          </w:p>
        </w:tc>
        <w:tc>
          <w:tcPr>
            <w:tcW w:w="1128" w:type="pct"/>
          </w:tcPr>
          <w:p w14:paraId="7AEF71AE" w14:textId="1A15327E" w:rsidR="00AC78E3" w:rsidRDefault="00AC78E3" w:rsidP="0034561C">
            <w:pPr>
              <w:cnfStyle w:val="100000000000" w:firstRow="1" w:lastRow="0" w:firstColumn="0" w:lastColumn="0" w:oddVBand="0" w:evenVBand="0" w:oddHBand="0" w:evenHBand="0" w:firstRowFirstColumn="0" w:firstRowLastColumn="0" w:lastRowFirstColumn="0" w:lastRowLastColumn="0"/>
            </w:pPr>
            <w:r>
              <w:t>Code Interactivity</w:t>
            </w:r>
          </w:p>
        </w:tc>
        <w:tc>
          <w:tcPr>
            <w:tcW w:w="1128" w:type="pct"/>
          </w:tcPr>
          <w:p w14:paraId="1F0DDF67" w14:textId="7840DA38" w:rsidR="00AC78E3" w:rsidRDefault="00AC78E3" w:rsidP="0034561C">
            <w:pPr>
              <w:cnfStyle w:val="100000000000" w:firstRow="1" w:lastRow="0" w:firstColumn="0" w:lastColumn="0" w:oddVBand="0" w:evenVBand="0" w:oddHBand="0" w:evenHBand="0" w:firstRowFirstColumn="0" w:firstRowLastColumn="0" w:lastRowFirstColumn="0" w:lastRowLastColumn="0"/>
            </w:pPr>
            <w:r>
              <w:t>Resulting aMW</w:t>
            </w:r>
          </w:p>
        </w:tc>
        <w:tc>
          <w:tcPr>
            <w:tcW w:w="1127" w:type="pct"/>
          </w:tcPr>
          <w:p w14:paraId="41E45D26" w14:textId="58ECC055" w:rsidR="00AC78E3" w:rsidRDefault="00AC78E3" w:rsidP="0034561C">
            <w:pPr>
              <w:cnfStyle w:val="100000000000" w:firstRow="1" w:lastRow="0" w:firstColumn="0" w:lastColumn="0" w:oddVBand="0" w:evenVBand="0" w:oddHBand="0" w:evenHBand="0" w:firstRowFirstColumn="0" w:firstRowLastColumn="0" w:lastRowFirstColumn="0" w:lastRowLastColumn="0"/>
            </w:pPr>
            <w:r>
              <w:t>Difference from original</w:t>
            </w:r>
          </w:p>
        </w:tc>
      </w:tr>
      <w:tr w:rsidR="00AC78E3" w14:paraId="62E8CB6E" w14:textId="70D65E3B" w:rsidTr="00AC7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pct"/>
          </w:tcPr>
          <w:p w14:paraId="61A70794" w14:textId="4F6355BD" w:rsidR="00AC78E3" w:rsidRDefault="00AC78E3" w:rsidP="0034561C">
            <w:r>
              <w:t>Team’s recommendations</w:t>
            </w:r>
          </w:p>
        </w:tc>
        <w:tc>
          <w:tcPr>
            <w:tcW w:w="1128" w:type="pct"/>
          </w:tcPr>
          <w:p w14:paraId="5FDAAB41" w14:textId="57A83033" w:rsidR="00AC78E3" w:rsidRDefault="00AC78E3" w:rsidP="0034561C">
            <w:pPr>
              <w:cnfStyle w:val="000000100000" w:firstRow="0" w:lastRow="0" w:firstColumn="0" w:lastColumn="0" w:oddVBand="0" w:evenVBand="0" w:oddHBand="1" w:evenHBand="0" w:firstRowFirstColumn="0" w:firstRowLastColumn="0" w:lastRowFirstColumn="0" w:lastRowLastColumn="0"/>
            </w:pPr>
            <w:r>
              <w:t>7.2%</w:t>
            </w:r>
          </w:p>
        </w:tc>
        <w:tc>
          <w:tcPr>
            <w:tcW w:w="1128" w:type="pct"/>
          </w:tcPr>
          <w:p w14:paraId="231CE6CE" w14:textId="2C97EAF3" w:rsidR="00AC78E3" w:rsidRDefault="00AC78E3" w:rsidP="00395FE2">
            <w:pPr>
              <w:cnfStyle w:val="000000100000" w:firstRow="0" w:lastRow="0" w:firstColumn="0" w:lastColumn="0" w:oddVBand="0" w:evenVBand="0" w:oddHBand="1" w:evenHBand="0" w:firstRowFirstColumn="0" w:firstRowLastColumn="0" w:lastRowFirstColumn="0" w:lastRowLastColumn="0"/>
            </w:pPr>
            <w:r>
              <w:t>48.5 aMW</w:t>
            </w:r>
          </w:p>
        </w:tc>
        <w:tc>
          <w:tcPr>
            <w:tcW w:w="1127" w:type="pct"/>
          </w:tcPr>
          <w:p w14:paraId="6AE9FF0F" w14:textId="1B77613A" w:rsidR="00AC78E3" w:rsidRDefault="00AC78E3" w:rsidP="00395FE2">
            <w:pPr>
              <w:cnfStyle w:val="000000100000" w:firstRow="0" w:lastRow="0" w:firstColumn="0" w:lastColumn="0" w:oddVBand="0" w:evenVBand="0" w:oddHBand="1" w:evenHBand="0" w:firstRowFirstColumn="0" w:firstRowLastColumn="0" w:lastRowFirstColumn="0" w:lastRowLastColumn="0"/>
            </w:pPr>
            <w:r>
              <w:t>-0.9 aMW</w:t>
            </w:r>
          </w:p>
        </w:tc>
      </w:tr>
      <w:tr w:rsidR="00AC78E3" w14:paraId="005724A5" w14:textId="2DEAC56E" w:rsidTr="00AC78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pct"/>
          </w:tcPr>
          <w:p w14:paraId="17D12D9B" w14:textId="38DC3437" w:rsidR="00AC78E3" w:rsidRDefault="00AC78E3" w:rsidP="0034561C">
            <w:r>
              <w:t>Planner’s recommendations</w:t>
            </w:r>
          </w:p>
        </w:tc>
        <w:tc>
          <w:tcPr>
            <w:tcW w:w="1128" w:type="pct"/>
          </w:tcPr>
          <w:p w14:paraId="4ECF4356" w14:textId="08639B48" w:rsidR="00AC78E3" w:rsidRDefault="00AC78E3" w:rsidP="00395FE2">
            <w:pPr>
              <w:cnfStyle w:val="000000010000" w:firstRow="0" w:lastRow="0" w:firstColumn="0" w:lastColumn="0" w:oddVBand="0" w:evenVBand="0" w:oddHBand="0" w:evenHBand="1" w:firstRowFirstColumn="0" w:firstRowLastColumn="0" w:lastRowFirstColumn="0" w:lastRowLastColumn="0"/>
            </w:pPr>
            <w:r>
              <w:t>19.2%</w:t>
            </w:r>
          </w:p>
        </w:tc>
        <w:tc>
          <w:tcPr>
            <w:tcW w:w="1128" w:type="pct"/>
          </w:tcPr>
          <w:p w14:paraId="73E6656C" w14:textId="57C48178" w:rsidR="00AC78E3" w:rsidRDefault="00AC78E3" w:rsidP="0034561C">
            <w:pPr>
              <w:cnfStyle w:val="000000010000" w:firstRow="0" w:lastRow="0" w:firstColumn="0" w:lastColumn="0" w:oddVBand="0" w:evenVBand="0" w:oddHBand="0" w:evenHBand="1" w:firstRowFirstColumn="0" w:firstRowLastColumn="0" w:lastRowFirstColumn="0" w:lastRowLastColumn="0"/>
            </w:pPr>
            <w:r>
              <w:t>46.4 aMW</w:t>
            </w:r>
          </w:p>
        </w:tc>
        <w:tc>
          <w:tcPr>
            <w:tcW w:w="1127" w:type="pct"/>
          </w:tcPr>
          <w:p w14:paraId="22A4E4DB" w14:textId="0D9B5778" w:rsidR="00AC78E3" w:rsidRDefault="00AC78E3" w:rsidP="0034561C">
            <w:pPr>
              <w:cnfStyle w:val="000000010000" w:firstRow="0" w:lastRow="0" w:firstColumn="0" w:lastColumn="0" w:oddVBand="0" w:evenVBand="0" w:oddHBand="0" w:evenHBand="1" w:firstRowFirstColumn="0" w:firstRowLastColumn="0" w:lastRowFirstColumn="0" w:lastRowLastColumn="0"/>
            </w:pPr>
            <w:r>
              <w:t>-3.0 aMW</w:t>
            </w:r>
          </w:p>
        </w:tc>
      </w:tr>
      <w:tr w:rsidR="00AC78E3" w14:paraId="41C15335" w14:textId="2AEC5B82" w:rsidTr="00AC78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pct"/>
          </w:tcPr>
          <w:p w14:paraId="2A257EB9" w14:textId="55DEFFAF" w:rsidR="00AC78E3" w:rsidRDefault="00AC78E3" w:rsidP="0034561C">
            <w:r>
              <w:t>Strict code scenario</w:t>
            </w:r>
          </w:p>
        </w:tc>
        <w:tc>
          <w:tcPr>
            <w:tcW w:w="1128" w:type="pct"/>
          </w:tcPr>
          <w:p w14:paraId="7B7B3C32" w14:textId="7007C88B" w:rsidR="00AC78E3" w:rsidRDefault="00D82531" w:rsidP="0034561C">
            <w:pPr>
              <w:cnfStyle w:val="000000100000" w:firstRow="0" w:lastRow="0" w:firstColumn="0" w:lastColumn="0" w:oddVBand="0" w:evenVBand="0" w:oddHBand="1" w:evenHBand="0" w:firstRowFirstColumn="0" w:firstRowLastColumn="0" w:lastRowFirstColumn="0" w:lastRowLastColumn="0"/>
            </w:pPr>
            <w:r>
              <w:t>100</w:t>
            </w:r>
            <w:r w:rsidR="00AC78E3">
              <w:t>%</w:t>
            </w:r>
          </w:p>
        </w:tc>
        <w:tc>
          <w:tcPr>
            <w:tcW w:w="1128" w:type="pct"/>
          </w:tcPr>
          <w:p w14:paraId="38DDEBD6" w14:textId="04158977" w:rsidR="00AC78E3" w:rsidRDefault="00AC78E3" w:rsidP="0034561C">
            <w:pPr>
              <w:cnfStyle w:val="000000100000" w:firstRow="0" w:lastRow="0" w:firstColumn="0" w:lastColumn="0" w:oddVBand="0" w:evenVBand="0" w:oddHBand="1" w:evenHBand="0" w:firstRowFirstColumn="0" w:firstRowLastColumn="0" w:lastRowFirstColumn="0" w:lastRowLastColumn="0"/>
            </w:pPr>
            <w:r>
              <w:t>26.5 aMW</w:t>
            </w:r>
          </w:p>
        </w:tc>
        <w:tc>
          <w:tcPr>
            <w:tcW w:w="1127" w:type="pct"/>
          </w:tcPr>
          <w:p w14:paraId="487F5BAC" w14:textId="4DD99E40" w:rsidR="00AC78E3" w:rsidRDefault="00AC78E3" w:rsidP="0034561C">
            <w:pPr>
              <w:cnfStyle w:val="000000100000" w:firstRow="0" w:lastRow="0" w:firstColumn="0" w:lastColumn="0" w:oddVBand="0" w:evenVBand="0" w:oddHBand="1" w:evenHBand="0" w:firstRowFirstColumn="0" w:firstRowLastColumn="0" w:lastRowFirstColumn="0" w:lastRowLastColumn="0"/>
            </w:pPr>
            <w:r>
              <w:t>-19.0 aMW</w:t>
            </w:r>
          </w:p>
        </w:tc>
      </w:tr>
    </w:tbl>
    <w:p w14:paraId="43CC4CD4" w14:textId="08E50BE2" w:rsidR="00E40672" w:rsidRDefault="00D82531" w:rsidP="00900FB5">
      <w:r>
        <w:t>Estimating the amount of overlap between code and EBR is an art rather than a science. Tripping code is a nuanced</w:t>
      </w:r>
      <w:r w:rsidR="00AC78E3">
        <w:t xml:space="preserve"> issue as I learned from </w:t>
      </w:r>
      <w:r w:rsidR="005944AD">
        <w:t>the in-house expert on codes and standards</w:t>
      </w:r>
      <w:r w:rsidR="00AC78E3">
        <w:t xml:space="preserve">. </w:t>
      </w:r>
      <w:r w:rsidR="00E40672">
        <w:t>A strict code interpretation is not only inaccurate, but is not likely in the case of this initiative. There are components of HVAC, envelope, plug load, and lighting that will not be susceptible to code in practice, such as ducting for HVAC.</w:t>
      </w:r>
    </w:p>
    <w:p w14:paraId="7D697F13" w14:textId="22E21070" w:rsidR="00900FB5" w:rsidRDefault="00AC78E3" w:rsidP="00900FB5">
      <w:r>
        <w:lastRenderedPageBreak/>
        <w:t xml:space="preserve">To tackle this issue, I used a table in the </w:t>
      </w:r>
      <w:r w:rsidR="005944AD">
        <w:t>cost-effectiveness</w:t>
      </w:r>
      <w:r w:rsidR="00D82531">
        <w:t xml:space="preserve"> </w:t>
      </w:r>
      <w:r>
        <w:t xml:space="preserve">model to determine what percentage of the various components in a project overlap with code.  Without having finished the market test, </w:t>
      </w:r>
      <w:r w:rsidRPr="00E40672">
        <w:rPr>
          <w:b/>
          <w:bCs/>
        </w:rPr>
        <w:t>this is a gross estimate</w:t>
      </w:r>
      <w:r>
        <w:t xml:space="preserve"> at best. </w:t>
      </w:r>
      <w:r w:rsidR="00D82531">
        <w:t xml:space="preserve"> See </w:t>
      </w:r>
      <w:r w:rsidR="00D82531">
        <w:fldChar w:fldCharType="begin"/>
      </w:r>
      <w:r w:rsidR="00D82531">
        <w:instrText xml:space="preserve"> REF _Ref376264996 \h </w:instrText>
      </w:r>
      <w:r w:rsidR="00D82531">
        <w:fldChar w:fldCharType="separate"/>
      </w:r>
      <w:r w:rsidR="004D72F2">
        <w:t>Appendix C</w:t>
      </w:r>
      <w:r w:rsidR="00D82531">
        <w:fldChar w:fldCharType="end"/>
      </w:r>
      <w:r w:rsidR="00D82531">
        <w:t xml:space="preserve"> for more detail.</w:t>
      </w:r>
    </w:p>
    <w:p w14:paraId="5C0B2066" w14:textId="77777777" w:rsidR="0029250B" w:rsidRDefault="0029250B" w:rsidP="0029250B">
      <w:pPr>
        <w:pStyle w:val="Heading1"/>
        <w:rPr>
          <w:noProof/>
        </w:rPr>
      </w:pPr>
      <w:r w:rsidRPr="00DD0FA9">
        <w:rPr>
          <w:noProof/>
        </w:rPr>
        <w:t>Where is more information available?</w:t>
      </w:r>
    </w:p>
    <w:p w14:paraId="7A74DB21" w14:textId="7493241B" w:rsidR="00E40672" w:rsidRPr="00E40672" w:rsidRDefault="00E40672" w:rsidP="00E40672">
      <w:r>
        <w:t>The first place for more information will be to reference the appendices in this document.</w:t>
      </w:r>
    </w:p>
    <w:p w14:paraId="0915D3DC" w14:textId="6A0FFFA2" w:rsidR="00103CE3" w:rsidRDefault="00103CE3" w:rsidP="00103CE3">
      <w:r>
        <w:t xml:space="preserve">If you have </w:t>
      </w:r>
      <w:r w:rsidR="00E40672">
        <w:t xml:space="preserve">further </w:t>
      </w:r>
      <w:r>
        <w:t xml:space="preserve">questions, please contact </w:t>
      </w:r>
      <w:r w:rsidR="00D82531">
        <w:t>Emily Moore or</w:t>
      </w:r>
      <w:r>
        <w:t xml:space="preserve"> organize a meeting with any of the relevant team members:</w:t>
      </w:r>
    </w:p>
    <w:p w14:paraId="76423C3E" w14:textId="0FC1AA73" w:rsidR="00103CE3" w:rsidRDefault="005944AD" w:rsidP="00103CE3">
      <w:pPr>
        <w:pStyle w:val="ListParagraph"/>
        <w:numPr>
          <w:ilvl w:val="0"/>
          <w:numId w:val="16"/>
        </w:numPr>
      </w:pPr>
      <w:r>
        <w:t>XXX</w:t>
      </w:r>
      <w:r w:rsidR="00103CE3">
        <w:t>, Initiative Manager</w:t>
      </w:r>
    </w:p>
    <w:p w14:paraId="4D165BA0" w14:textId="40029C51" w:rsidR="00103CE3" w:rsidRDefault="005944AD" w:rsidP="00103CE3">
      <w:pPr>
        <w:pStyle w:val="ListParagraph"/>
        <w:numPr>
          <w:ilvl w:val="0"/>
          <w:numId w:val="16"/>
        </w:numPr>
      </w:pPr>
      <w:r>
        <w:t>XXX</w:t>
      </w:r>
      <w:r w:rsidR="00103CE3">
        <w:t>, Product Manager</w:t>
      </w:r>
    </w:p>
    <w:p w14:paraId="5C75A5D5" w14:textId="23A1632F" w:rsidR="00103CE3" w:rsidRDefault="005944AD" w:rsidP="00103CE3">
      <w:pPr>
        <w:pStyle w:val="ListParagraph"/>
        <w:numPr>
          <w:ilvl w:val="0"/>
          <w:numId w:val="16"/>
        </w:numPr>
      </w:pPr>
      <w:r>
        <w:t>XXX</w:t>
      </w:r>
      <w:r w:rsidR="00103CE3">
        <w:t>, Demonstration projects coordinator</w:t>
      </w:r>
    </w:p>
    <w:p w14:paraId="14E91FDE" w14:textId="5D7206D5" w:rsidR="00A546E2" w:rsidRDefault="005944AD" w:rsidP="00103CE3">
      <w:pPr>
        <w:pStyle w:val="ListParagraph"/>
        <w:numPr>
          <w:ilvl w:val="0"/>
          <w:numId w:val="16"/>
        </w:numPr>
      </w:pPr>
      <w:r>
        <w:t>XXX</w:t>
      </w:r>
      <w:r w:rsidR="00103CE3">
        <w:t>, Codes and Standards Senior Manager</w:t>
      </w:r>
    </w:p>
    <w:p w14:paraId="4C0FE5AA" w14:textId="27579F4D" w:rsidR="00E40672" w:rsidRDefault="00E40672" w:rsidP="00E40672">
      <w:r>
        <w:t xml:space="preserve">The working ACE model version used for this analysis, with its respective scenarios, is available on </w:t>
      </w:r>
      <w:r w:rsidRPr="005944AD">
        <w:t>SharePoint in the EBR Initiative site</w:t>
      </w:r>
      <w:r>
        <w:t>.</w:t>
      </w:r>
    </w:p>
    <w:p w14:paraId="03D8885F" w14:textId="77777777" w:rsidR="00A546E2" w:rsidRDefault="00A546E2">
      <w:r>
        <w:br w:type="page"/>
      </w:r>
    </w:p>
    <w:p w14:paraId="7CC41D61" w14:textId="286AEC70" w:rsidR="002A3DC2" w:rsidRDefault="00103CE3" w:rsidP="00C47375">
      <w:pPr>
        <w:pStyle w:val="Heading1"/>
      </w:pPr>
      <w:bookmarkStart w:id="1" w:name="_Ref376265108"/>
      <w:r>
        <w:lastRenderedPageBreak/>
        <w:t>Appendix</w:t>
      </w:r>
      <w:r w:rsidR="00C47375">
        <w:t xml:space="preserve"> A</w:t>
      </w:r>
      <w:bookmarkEnd w:id="1"/>
    </w:p>
    <w:p w14:paraId="33A16364" w14:textId="6856261B" w:rsidR="00AA544D" w:rsidRDefault="00AA544D" w:rsidP="00AA544D">
      <w:pPr>
        <w:pStyle w:val="Caption"/>
        <w:keepNext/>
      </w:pPr>
      <w:r>
        <w:t xml:space="preserve">Table </w:t>
      </w:r>
      <w:r w:rsidR="00010C57">
        <w:fldChar w:fldCharType="begin"/>
      </w:r>
      <w:r w:rsidR="00010C57">
        <w:instrText xml:space="preserve"> S</w:instrText>
      </w:r>
      <w:r w:rsidR="00010C57">
        <w:instrText xml:space="preserve">EQ Table \* ARABIC </w:instrText>
      </w:r>
      <w:r w:rsidR="00010C57">
        <w:fldChar w:fldCharType="separate"/>
      </w:r>
      <w:r w:rsidR="004D72F2">
        <w:rPr>
          <w:noProof/>
        </w:rPr>
        <w:t>3</w:t>
      </w:r>
      <w:r w:rsidR="00010C57">
        <w:rPr>
          <w:noProof/>
        </w:rPr>
        <w:fldChar w:fldCharType="end"/>
      </w:r>
      <w:r>
        <w:t xml:space="preserve"> Assumptions used in the model</w:t>
      </w:r>
    </w:p>
    <w:tbl>
      <w:tblPr>
        <w:tblStyle w:val="MediumShading1-Accent1"/>
        <w:tblW w:w="0" w:type="auto"/>
        <w:tblLook w:val="04E0" w:firstRow="1" w:lastRow="1" w:firstColumn="1" w:lastColumn="0" w:noHBand="0" w:noVBand="1"/>
      </w:tblPr>
      <w:tblGrid>
        <w:gridCol w:w="2429"/>
        <w:gridCol w:w="1891"/>
        <w:gridCol w:w="1972"/>
        <w:gridCol w:w="1877"/>
        <w:gridCol w:w="1695"/>
      </w:tblGrid>
      <w:tr w:rsidR="00CE61A4" w14:paraId="41A7A83D" w14:textId="6AFF0C4B" w:rsidTr="00CE61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0F8F8DCA" w14:textId="0C35B53A" w:rsidR="00CE61A4" w:rsidRDefault="00CE61A4" w:rsidP="00CE61A4">
            <w:r>
              <w:t>Assumption</w:t>
            </w:r>
          </w:p>
        </w:tc>
        <w:tc>
          <w:tcPr>
            <w:tcW w:w="1891" w:type="dxa"/>
          </w:tcPr>
          <w:p w14:paraId="3403443E" w14:textId="6951ECE9" w:rsidR="00CE61A4" w:rsidRDefault="00CE61A4" w:rsidP="00CE61A4">
            <w:pPr>
              <w:cnfStyle w:val="100000000000" w:firstRow="1" w:lastRow="0" w:firstColumn="0" w:lastColumn="0" w:oddVBand="0" w:evenVBand="0" w:oddHBand="0" w:evenHBand="0" w:firstRowFirstColumn="0" w:firstRowLastColumn="0" w:lastRowFirstColumn="0" w:lastRowLastColumn="0"/>
            </w:pPr>
            <w:r>
              <w:t>Starting Value</w:t>
            </w:r>
          </w:p>
        </w:tc>
        <w:tc>
          <w:tcPr>
            <w:tcW w:w="1972" w:type="dxa"/>
          </w:tcPr>
          <w:p w14:paraId="113F3A2E" w14:textId="62DF8522" w:rsidR="00CE61A4" w:rsidRDefault="00CE61A4" w:rsidP="00CE61A4">
            <w:pPr>
              <w:cnfStyle w:val="100000000000" w:firstRow="1" w:lastRow="0" w:firstColumn="0" w:lastColumn="0" w:oddVBand="0" w:evenVBand="0" w:oddHBand="0" w:evenHBand="0" w:firstRowFirstColumn="0" w:firstRowLastColumn="0" w:lastRowFirstColumn="0" w:lastRowLastColumn="0"/>
            </w:pPr>
            <w:r>
              <w:t>High value</w:t>
            </w:r>
          </w:p>
        </w:tc>
        <w:tc>
          <w:tcPr>
            <w:tcW w:w="1877" w:type="dxa"/>
          </w:tcPr>
          <w:p w14:paraId="08670A73" w14:textId="021E9D5F" w:rsidR="00CE61A4" w:rsidRDefault="00CE61A4" w:rsidP="00CE61A4">
            <w:pPr>
              <w:cnfStyle w:val="100000000000" w:firstRow="1" w:lastRow="0" w:firstColumn="0" w:lastColumn="0" w:oddVBand="0" w:evenVBand="0" w:oddHBand="0" w:evenHBand="0" w:firstRowFirstColumn="0" w:firstRowLastColumn="0" w:lastRowFirstColumn="0" w:lastRowLastColumn="0"/>
            </w:pPr>
            <w:r>
              <w:t>Low Value</w:t>
            </w:r>
          </w:p>
        </w:tc>
        <w:tc>
          <w:tcPr>
            <w:tcW w:w="1695" w:type="dxa"/>
          </w:tcPr>
          <w:p w14:paraId="55877D59" w14:textId="06FAA67A" w:rsidR="00CE61A4" w:rsidRDefault="00CE61A4" w:rsidP="00CE61A4">
            <w:pPr>
              <w:cnfStyle w:val="100000000000" w:firstRow="1" w:lastRow="0" w:firstColumn="0" w:lastColumn="0" w:oddVBand="0" w:evenVBand="0" w:oddHBand="0" w:evenHBand="0" w:firstRowFirstColumn="0" w:firstRowLastColumn="0" w:lastRowFirstColumn="0" w:lastRowLastColumn="0"/>
            </w:pPr>
            <w:r>
              <w:t>Chosen Value</w:t>
            </w:r>
          </w:p>
        </w:tc>
      </w:tr>
      <w:tr w:rsidR="00CE61A4" w14:paraId="4B38E944" w14:textId="49E0B2F2" w:rsidTr="00CE6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57EE0878" w14:textId="58D14526" w:rsidR="00CE61A4" w:rsidRDefault="00CE61A4" w:rsidP="00CE61A4">
            <w:r>
              <w:t>Market Size</w:t>
            </w:r>
          </w:p>
        </w:tc>
        <w:tc>
          <w:tcPr>
            <w:tcW w:w="1891" w:type="dxa"/>
          </w:tcPr>
          <w:p w14:paraId="336845D1" w14:textId="6BC974D2" w:rsidR="00CE61A4" w:rsidRPr="00CE61A4" w:rsidRDefault="00CE61A4" w:rsidP="00CE61A4">
            <w:pPr>
              <w:cnfStyle w:val="000000100000" w:firstRow="0" w:lastRow="0" w:firstColumn="0" w:lastColumn="0" w:oddVBand="0" w:evenVBand="0" w:oddHBand="1" w:evenHBand="0" w:firstRowFirstColumn="0" w:firstRowLastColumn="0" w:lastRowFirstColumn="0" w:lastRowLastColumn="0"/>
              <w:rPr>
                <w:vertAlign w:val="superscript"/>
              </w:rPr>
            </w:pPr>
            <w:r>
              <w:t>104.4 M ft</w:t>
            </w:r>
            <w:r>
              <w:rPr>
                <w:vertAlign w:val="superscript"/>
              </w:rPr>
              <w:t>2</w:t>
            </w:r>
          </w:p>
        </w:tc>
        <w:tc>
          <w:tcPr>
            <w:tcW w:w="1972" w:type="dxa"/>
          </w:tcPr>
          <w:p w14:paraId="61C7DB67" w14:textId="28230653" w:rsidR="00CE61A4" w:rsidRPr="00CE61A4" w:rsidRDefault="00CE61A4" w:rsidP="00E011C9">
            <w:pPr>
              <w:cnfStyle w:val="000000100000" w:firstRow="0" w:lastRow="0" w:firstColumn="0" w:lastColumn="0" w:oddVBand="0" w:evenVBand="0" w:oddHBand="1" w:evenHBand="0" w:firstRowFirstColumn="0" w:firstRowLastColumn="0" w:lastRowFirstColumn="0" w:lastRowLastColumn="0"/>
              <w:rPr>
                <w:vertAlign w:val="superscript"/>
              </w:rPr>
            </w:pPr>
            <w:r>
              <w:t>2</w:t>
            </w:r>
            <w:r w:rsidR="00E011C9">
              <w:t xml:space="preserve">30.8 </w:t>
            </w:r>
            <w:r>
              <w:t>M ft</w:t>
            </w:r>
            <w:r>
              <w:rPr>
                <w:vertAlign w:val="superscript"/>
              </w:rPr>
              <w:t>2</w:t>
            </w:r>
          </w:p>
        </w:tc>
        <w:tc>
          <w:tcPr>
            <w:tcW w:w="1877" w:type="dxa"/>
          </w:tcPr>
          <w:p w14:paraId="09CD045D" w14:textId="6DC12DD5" w:rsidR="00CE61A4" w:rsidRPr="00CE61A4" w:rsidRDefault="00CE61A4" w:rsidP="00CE61A4">
            <w:pPr>
              <w:cnfStyle w:val="000000100000" w:firstRow="0" w:lastRow="0" w:firstColumn="0" w:lastColumn="0" w:oddVBand="0" w:evenVBand="0" w:oddHBand="1" w:evenHBand="0" w:firstRowFirstColumn="0" w:firstRowLastColumn="0" w:lastRowFirstColumn="0" w:lastRowLastColumn="0"/>
              <w:rPr>
                <w:vertAlign w:val="superscript"/>
              </w:rPr>
            </w:pPr>
            <w:r>
              <w:t>104.4M ft</w:t>
            </w:r>
            <w:r>
              <w:rPr>
                <w:vertAlign w:val="superscript"/>
              </w:rPr>
              <w:t>2</w:t>
            </w:r>
          </w:p>
        </w:tc>
        <w:tc>
          <w:tcPr>
            <w:tcW w:w="1695" w:type="dxa"/>
          </w:tcPr>
          <w:p w14:paraId="4C3DD22B" w14:textId="658FDAA3" w:rsidR="00CE61A4" w:rsidRDefault="00E011C9" w:rsidP="00CE61A4">
            <w:pPr>
              <w:cnfStyle w:val="000000100000" w:firstRow="0" w:lastRow="0" w:firstColumn="0" w:lastColumn="0" w:oddVBand="0" w:evenVBand="0" w:oddHBand="1" w:evenHBand="0" w:firstRowFirstColumn="0" w:firstRowLastColumn="0" w:lastRowFirstColumn="0" w:lastRowLastColumn="0"/>
            </w:pPr>
            <w:r>
              <w:t>204.2</w:t>
            </w:r>
            <w:r w:rsidR="00B8246B">
              <w:t>M ft</w:t>
            </w:r>
            <w:r w:rsidR="00B8246B">
              <w:rPr>
                <w:vertAlign w:val="superscript"/>
              </w:rPr>
              <w:t>2</w:t>
            </w:r>
          </w:p>
        </w:tc>
      </w:tr>
      <w:tr w:rsidR="00CE61A4" w14:paraId="7A4E22EA" w14:textId="7AB496CE" w:rsidTr="00CE61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6159B04A" w14:textId="4A2A94BA" w:rsidR="00CE61A4" w:rsidRDefault="00CE61A4" w:rsidP="00CE61A4">
            <w:r>
              <w:t>Savings Rate</w:t>
            </w:r>
          </w:p>
        </w:tc>
        <w:tc>
          <w:tcPr>
            <w:tcW w:w="1891" w:type="dxa"/>
          </w:tcPr>
          <w:p w14:paraId="5A7587BD" w14:textId="5E987491" w:rsidR="00CE61A4" w:rsidRDefault="00CE61A4" w:rsidP="00CE61A4">
            <w:pPr>
              <w:cnfStyle w:val="000000010000" w:firstRow="0" w:lastRow="0" w:firstColumn="0" w:lastColumn="0" w:oddVBand="0" w:evenVBand="0" w:oddHBand="0" w:evenHBand="1" w:firstRowFirstColumn="0" w:firstRowLastColumn="0" w:lastRowFirstColumn="0" w:lastRowLastColumn="0"/>
            </w:pPr>
            <w:r>
              <w:t>35% flat</w:t>
            </w:r>
          </w:p>
        </w:tc>
        <w:tc>
          <w:tcPr>
            <w:tcW w:w="1972" w:type="dxa"/>
          </w:tcPr>
          <w:p w14:paraId="5663AABB" w14:textId="3D93437E" w:rsidR="006528F6" w:rsidRDefault="00AA544D" w:rsidP="006528F6">
            <w:pPr>
              <w:cnfStyle w:val="000000010000" w:firstRow="0" w:lastRow="0" w:firstColumn="0" w:lastColumn="0" w:oddVBand="0" w:evenVBand="0" w:oddHBand="0" w:evenHBand="1" w:firstRowFirstColumn="0" w:firstRowLastColumn="0" w:lastRowFirstColumn="0" w:lastRowLastColumn="0"/>
            </w:pPr>
            <w:r>
              <w:t xml:space="preserve">60% </w:t>
            </w:r>
          </w:p>
          <w:p w14:paraId="48CCF7E0" w14:textId="7842B360" w:rsidR="00AA544D" w:rsidRDefault="00AA544D" w:rsidP="00AA544D">
            <w:pPr>
              <w:cnfStyle w:val="000000010000" w:firstRow="0" w:lastRow="0" w:firstColumn="0" w:lastColumn="0" w:oddVBand="0" w:evenVBand="0" w:oddHBand="0" w:evenHBand="1" w:firstRowFirstColumn="0" w:firstRowLastColumn="0" w:lastRowFirstColumn="0" w:lastRowLastColumn="0"/>
            </w:pPr>
          </w:p>
        </w:tc>
        <w:tc>
          <w:tcPr>
            <w:tcW w:w="1877" w:type="dxa"/>
          </w:tcPr>
          <w:p w14:paraId="728EAF40" w14:textId="759E4405" w:rsidR="00CE61A4" w:rsidRDefault="00AA544D" w:rsidP="00CE61A4">
            <w:pPr>
              <w:cnfStyle w:val="000000010000" w:firstRow="0" w:lastRow="0" w:firstColumn="0" w:lastColumn="0" w:oddVBand="0" w:evenVBand="0" w:oddHBand="0" w:evenHBand="1" w:firstRowFirstColumn="0" w:firstRowLastColumn="0" w:lastRowFirstColumn="0" w:lastRowLastColumn="0"/>
            </w:pPr>
            <w:r>
              <w:t>35% flat</w:t>
            </w:r>
          </w:p>
        </w:tc>
        <w:tc>
          <w:tcPr>
            <w:tcW w:w="1695" w:type="dxa"/>
          </w:tcPr>
          <w:p w14:paraId="7D0A5F35" w14:textId="45FC1600" w:rsidR="00CE61A4" w:rsidRDefault="006528F6" w:rsidP="006528F6">
            <w:pPr>
              <w:cnfStyle w:val="000000010000" w:firstRow="0" w:lastRow="0" w:firstColumn="0" w:lastColumn="0" w:oddVBand="0" w:evenVBand="0" w:oddHBand="0" w:evenHBand="1" w:firstRowFirstColumn="0" w:firstRowLastColumn="0" w:lastRowFirstColumn="0" w:lastRowLastColumn="0"/>
            </w:pPr>
            <w:r>
              <w:t>U-shaped</w:t>
            </w:r>
            <w:r>
              <w:rPr>
                <w:rStyle w:val="FootnoteReference"/>
              </w:rPr>
              <w:footnoteReference w:id="2"/>
            </w:r>
          </w:p>
        </w:tc>
      </w:tr>
      <w:tr w:rsidR="00CE61A4" w14:paraId="49CBE97E" w14:textId="11F3768F" w:rsidTr="00CE61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229E6358" w14:textId="2982C43E" w:rsidR="00CE61A4" w:rsidRDefault="00CE61A4" w:rsidP="000D2087">
            <w:r>
              <w:t>EUI</w:t>
            </w:r>
          </w:p>
        </w:tc>
        <w:tc>
          <w:tcPr>
            <w:tcW w:w="1891" w:type="dxa"/>
          </w:tcPr>
          <w:p w14:paraId="19A03A66" w14:textId="340F988D" w:rsidR="00CE61A4" w:rsidRDefault="00CE61A4" w:rsidP="00CE61A4">
            <w:pPr>
              <w:cnfStyle w:val="000000100000" w:firstRow="0" w:lastRow="0" w:firstColumn="0" w:lastColumn="0" w:oddVBand="0" w:evenVBand="0" w:oddHBand="1" w:evenHBand="0" w:firstRowFirstColumn="0" w:firstRowLastColumn="0" w:lastRowFirstColumn="0" w:lastRowLastColumn="0"/>
            </w:pPr>
            <w:r>
              <w:t>16.7, decreasing 3.5% per year</w:t>
            </w:r>
          </w:p>
        </w:tc>
        <w:tc>
          <w:tcPr>
            <w:tcW w:w="1972" w:type="dxa"/>
          </w:tcPr>
          <w:p w14:paraId="3155F605" w14:textId="54F2D836" w:rsidR="00CE61A4" w:rsidRDefault="000D2087" w:rsidP="00963F56">
            <w:pPr>
              <w:cnfStyle w:val="000000100000" w:firstRow="0" w:lastRow="0" w:firstColumn="0" w:lastColumn="0" w:oddVBand="0" w:evenVBand="0" w:oddHBand="1" w:evenHBand="0" w:firstRowFirstColumn="0" w:firstRowLastColumn="0" w:lastRowFirstColumn="0" w:lastRowLastColumn="0"/>
            </w:pPr>
            <w:r>
              <w:t>17.1</w:t>
            </w:r>
            <w:r w:rsidR="00AA544D">
              <w:t xml:space="preserve">, </w:t>
            </w:r>
            <w:r w:rsidR="00963F56">
              <w:t>no decrease</w:t>
            </w:r>
          </w:p>
        </w:tc>
        <w:tc>
          <w:tcPr>
            <w:tcW w:w="1877" w:type="dxa"/>
          </w:tcPr>
          <w:p w14:paraId="2456D427" w14:textId="259A8269" w:rsidR="00CE61A4" w:rsidRDefault="00AA544D" w:rsidP="00CE61A4">
            <w:pPr>
              <w:cnfStyle w:val="000000100000" w:firstRow="0" w:lastRow="0" w:firstColumn="0" w:lastColumn="0" w:oddVBand="0" w:evenVBand="0" w:oddHBand="1" w:evenHBand="0" w:firstRowFirstColumn="0" w:firstRowLastColumn="0" w:lastRowFirstColumn="0" w:lastRowLastColumn="0"/>
            </w:pPr>
            <w:r>
              <w:t>16.7, decreasing 3.5% per year</w:t>
            </w:r>
          </w:p>
        </w:tc>
        <w:tc>
          <w:tcPr>
            <w:tcW w:w="1695" w:type="dxa"/>
          </w:tcPr>
          <w:p w14:paraId="4417FAA1" w14:textId="3389C4D2" w:rsidR="00CE61A4" w:rsidRDefault="00AA544D" w:rsidP="00CE61A4">
            <w:pPr>
              <w:cnfStyle w:val="000000100000" w:firstRow="0" w:lastRow="0" w:firstColumn="0" w:lastColumn="0" w:oddVBand="0" w:evenVBand="0" w:oddHBand="1" w:evenHBand="0" w:firstRowFirstColumn="0" w:firstRowLastColumn="0" w:lastRowFirstColumn="0" w:lastRowLastColumn="0"/>
            </w:pPr>
            <w:r>
              <w:t>16.7, decreasing 3.5% per year</w:t>
            </w:r>
          </w:p>
        </w:tc>
      </w:tr>
      <w:tr w:rsidR="00CE61A4" w14:paraId="30C51B8F" w14:textId="66F6D28B" w:rsidTr="00CE61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2EC97226" w14:textId="555C2FB0" w:rsidR="00CE61A4" w:rsidRDefault="00CE61A4" w:rsidP="00CE61A4">
            <w:r>
              <w:t>Code interactivity</w:t>
            </w:r>
          </w:p>
        </w:tc>
        <w:tc>
          <w:tcPr>
            <w:tcW w:w="1891" w:type="dxa"/>
          </w:tcPr>
          <w:p w14:paraId="4D4D3251" w14:textId="4C9E644E" w:rsidR="00CE61A4" w:rsidRDefault="00CE61A4" w:rsidP="00CE61A4">
            <w:pPr>
              <w:cnfStyle w:val="000000010000" w:firstRow="0" w:lastRow="0" w:firstColumn="0" w:lastColumn="0" w:oddVBand="0" w:evenVBand="0" w:oddHBand="0" w:evenHBand="1" w:firstRowFirstColumn="0" w:firstRowLastColumn="0" w:lastRowFirstColumn="0" w:lastRowLastColumn="0"/>
            </w:pPr>
            <w:r>
              <w:t>0%</w:t>
            </w:r>
          </w:p>
        </w:tc>
        <w:tc>
          <w:tcPr>
            <w:tcW w:w="1972" w:type="dxa"/>
          </w:tcPr>
          <w:p w14:paraId="012CDA73" w14:textId="0E411DA7" w:rsidR="00CE61A4" w:rsidRDefault="00963F56" w:rsidP="00963F56">
            <w:pPr>
              <w:cnfStyle w:val="000000010000" w:firstRow="0" w:lastRow="0" w:firstColumn="0" w:lastColumn="0" w:oddVBand="0" w:evenVBand="0" w:oddHBand="0" w:evenHBand="1" w:firstRowFirstColumn="0" w:firstRowLastColumn="0" w:lastRowFirstColumn="0" w:lastRowLastColumn="0"/>
            </w:pPr>
            <w:r>
              <w:t>7.2%</w:t>
            </w:r>
          </w:p>
        </w:tc>
        <w:tc>
          <w:tcPr>
            <w:tcW w:w="1877" w:type="dxa"/>
          </w:tcPr>
          <w:p w14:paraId="01F7CA50" w14:textId="0ADBDE6B" w:rsidR="00CE61A4" w:rsidRDefault="00963F56" w:rsidP="00CE61A4">
            <w:pPr>
              <w:cnfStyle w:val="000000010000" w:firstRow="0" w:lastRow="0" w:firstColumn="0" w:lastColumn="0" w:oddVBand="0" w:evenVBand="0" w:oddHBand="0" w:evenHBand="1" w:firstRowFirstColumn="0" w:firstRowLastColumn="0" w:lastRowFirstColumn="0" w:lastRowLastColumn="0"/>
            </w:pPr>
            <w:r>
              <w:t>100%</w:t>
            </w:r>
          </w:p>
        </w:tc>
        <w:tc>
          <w:tcPr>
            <w:tcW w:w="1695" w:type="dxa"/>
          </w:tcPr>
          <w:p w14:paraId="25F81975" w14:textId="71703776" w:rsidR="00CE61A4" w:rsidRDefault="006528F6" w:rsidP="006528F6">
            <w:pPr>
              <w:cnfStyle w:val="000000010000" w:firstRow="0" w:lastRow="0" w:firstColumn="0" w:lastColumn="0" w:oddVBand="0" w:evenVBand="0" w:oddHBand="0" w:evenHBand="1" w:firstRowFirstColumn="0" w:firstRowLastColumn="0" w:lastRowFirstColumn="0" w:lastRowLastColumn="0"/>
            </w:pPr>
            <w:r>
              <w:t>1</w:t>
            </w:r>
            <w:r w:rsidR="00E638AD">
              <w:t>9.2%</w:t>
            </w:r>
          </w:p>
        </w:tc>
      </w:tr>
      <w:tr w:rsidR="00CE61A4" w14:paraId="47A6169C" w14:textId="39F553C1" w:rsidTr="00CE61A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9" w:type="dxa"/>
          </w:tcPr>
          <w:p w14:paraId="14BF161E" w14:textId="737AD75B" w:rsidR="00CE61A4" w:rsidRDefault="00CE61A4" w:rsidP="00CE61A4">
            <w:r>
              <w:t>Resulting 20-year aMW</w:t>
            </w:r>
          </w:p>
        </w:tc>
        <w:tc>
          <w:tcPr>
            <w:tcW w:w="1891" w:type="dxa"/>
          </w:tcPr>
          <w:p w14:paraId="26B7E7F2" w14:textId="6E59A5AF" w:rsidR="00CE61A4" w:rsidRDefault="003B5755" w:rsidP="00CE61A4">
            <w:pPr>
              <w:cnfStyle w:val="010000000000" w:firstRow="0" w:lastRow="1" w:firstColumn="0" w:lastColumn="0" w:oddVBand="0" w:evenVBand="0" w:oddHBand="0" w:evenHBand="0" w:firstRowFirstColumn="0" w:firstRowLastColumn="0" w:lastRowFirstColumn="0" w:lastRowLastColumn="0"/>
            </w:pPr>
            <w:r>
              <w:t>19.9</w:t>
            </w:r>
            <w:r w:rsidR="00AA544D">
              <w:t xml:space="preserve"> </w:t>
            </w:r>
          </w:p>
        </w:tc>
        <w:tc>
          <w:tcPr>
            <w:tcW w:w="1972" w:type="dxa"/>
          </w:tcPr>
          <w:p w14:paraId="01C041B9" w14:textId="7E8699BF" w:rsidR="00CE61A4" w:rsidRDefault="00E638AD" w:rsidP="00CE61A4">
            <w:pPr>
              <w:cnfStyle w:val="010000000000" w:firstRow="0" w:lastRow="1" w:firstColumn="0" w:lastColumn="0" w:oddVBand="0" w:evenVBand="0" w:oddHBand="0" w:evenHBand="0" w:firstRowFirstColumn="0" w:firstRowLastColumn="0" w:lastRowFirstColumn="0" w:lastRowLastColumn="0"/>
            </w:pPr>
            <w:r>
              <w:t>69.5</w:t>
            </w:r>
          </w:p>
        </w:tc>
        <w:tc>
          <w:tcPr>
            <w:tcW w:w="1877" w:type="dxa"/>
          </w:tcPr>
          <w:p w14:paraId="4F9E21A9" w14:textId="57945EFE" w:rsidR="00CE61A4" w:rsidRDefault="00E638AD" w:rsidP="00CE61A4">
            <w:pPr>
              <w:cnfStyle w:val="010000000000" w:firstRow="0" w:lastRow="1" w:firstColumn="0" w:lastColumn="0" w:oddVBand="0" w:evenVBand="0" w:oddHBand="0" w:evenHBand="0" w:firstRowFirstColumn="0" w:firstRowLastColumn="0" w:lastRowFirstColumn="0" w:lastRowLastColumn="0"/>
            </w:pPr>
            <w:r>
              <w:t>7.8</w:t>
            </w:r>
          </w:p>
        </w:tc>
        <w:tc>
          <w:tcPr>
            <w:tcW w:w="1695" w:type="dxa"/>
          </w:tcPr>
          <w:p w14:paraId="139ADA13" w14:textId="3FF6FA45" w:rsidR="00CE61A4" w:rsidRDefault="00D84E67" w:rsidP="00D84E67">
            <w:pPr>
              <w:cnfStyle w:val="010000000000" w:firstRow="0" w:lastRow="1" w:firstColumn="0" w:lastColumn="0" w:oddVBand="0" w:evenVBand="0" w:oddHBand="0" w:evenHBand="0" w:firstRowFirstColumn="0" w:firstRowLastColumn="0" w:lastRowFirstColumn="0" w:lastRowLastColumn="0"/>
            </w:pPr>
            <w:r>
              <w:t>45.3</w:t>
            </w:r>
          </w:p>
        </w:tc>
      </w:tr>
    </w:tbl>
    <w:p w14:paraId="29749645" w14:textId="618597CA" w:rsidR="00CE61A4" w:rsidRPr="00CE61A4" w:rsidRDefault="00D84E67" w:rsidP="00CE61A4">
      <w:r>
        <w:t>This matrix shows the sensitivity of various variables.  The analysis done in the memo uses the chosen values to exemplify the impact of code interactivity and what it means for the initiative.  As we can see from the above table, the market size is a major driver in the 20-year savings. Many of the other factors have less sensitivity.</w:t>
      </w:r>
    </w:p>
    <w:p w14:paraId="1BCAF913" w14:textId="77777777" w:rsidR="00103CE3" w:rsidRDefault="00103CE3" w:rsidP="00103CE3">
      <w:pPr>
        <w:pStyle w:val="Heading2"/>
      </w:pPr>
      <w:r>
        <w:t>Market size</w:t>
      </w:r>
    </w:p>
    <w:p w14:paraId="408F81FE" w14:textId="54F6E56B" w:rsidR="00AA544D" w:rsidRPr="00AA544D" w:rsidRDefault="00AA544D" w:rsidP="00AA544D">
      <w:r>
        <w:t xml:space="preserve">The scenario analysis </w:t>
      </w:r>
      <w:r w:rsidR="005944AD">
        <w:t>I am</w:t>
      </w:r>
      <w:r>
        <w:t xml:space="preserve"> working from is assuming these variables in isolation.</w:t>
      </w:r>
    </w:p>
    <w:p w14:paraId="78121C7D" w14:textId="39AFFA79" w:rsidR="005B36A1" w:rsidRDefault="00103CE3" w:rsidP="00103CE3">
      <w:r>
        <w:t xml:space="preserve">The market size </w:t>
      </w:r>
      <w:r w:rsidRPr="005B36A1">
        <w:rPr>
          <w:b/>
          <w:bCs/>
        </w:rPr>
        <w:t xml:space="preserve">ranges from </w:t>
      </w:r>
      <w:r w:rsidR="00E011C9" w:rsidRPr="005B36A1">
        <w:rPr>
          <w:b/>
          <w:bCs/>
        </w:rPr>
        <w:t>230.8</w:t>
      </w:r>
      <w:r w:rsidRPr="005B36A1">
        <w:rPr>
          <w:b/>
          <w:bCs/>
        </w:rPr>
        <w:t>M ft</w:t>
      </w:r>
      <w:r w:rsidRPr="005B36A1">
        <w:rPr>
          <w:b/>
          <w:bCs/>
          <w:vertAlign w:val="superscript"/>
        </w:rPr>
        <w:t>2</w:t>
      </w:r>
      <w:r w:rsidRPr="005B36A1">
        <w:rPr>
          <w:b/>
          <w:bCs/>
        </w:rPr>
        <w:t xml:space="preserve"> to 104.4M ft</w:t>
      </w:r>
      <w:r w:rsidRPr="005B36A1">
        <w:rPr>
          <w:b/>
          <w:bCs/>
          <w:vertAlign w:val="superscript"/>
        </w:rPr>
        <w:t>2</w:t>
      </w:r>
      <w:r>
        <w:t xml:space="preserve"> depending on the selection of the target market strategies. </w:t>
      </w:r>
      <w:r w:rsidRPr="00E7269B">
        <w:rPr>
          <w:b/>
          <w:bCs/>
        </w:rPr>
        <w:t xml:space="preserve">At </w:t>
      </w:r>
      <w:r w:rsidR="00E011C9" w:rsidRPr="00E7269B">
        <w:rPr>
          <w:b/>
          <w:bCs/>
        </w:rPr>
        <w:t>230.8</w:t>
      </w:r>
      <w:r w:rsidRPr="00E7269B">
        <w:rPr>
          <w:b/>
          <w:bCs/>
        </w:rPr>
        <w:t>M ft</w:t>
      </w:r>
      <w:r w:rsidRPr="00E7269B">
        <w:rPr>
          <w:b/>
          <w:bCs/>
          <w:vertAlign w:val="superscript"/>
        </w:rPr>
        <w:t>2</w:t>
      </w:r>
      <w:r>
        <w:t xml:space="preserve">, the current </w:t>
      </w:r>
      <w:r w:rsidR="00CE61A4">
        <w:t xml:space="preserve">working </w:t>
      </w:r>
      <w:r>
        <w:t xml:space="preserve">model </w:t>
      </w:r>
      <w:r w:rsidR="00CE61A4">
        <w:rPr>
          <w:rStyle w:val="FootnoteReference"/>
        </w:rPr>
        <w:footnoteReference w:id="3"/>
      </w:r>
      <w:r>
        <w:t>woul</w:t>
      </w:r>
      <w:r w:rsidR="00EA6BE6">
        <w:t xml:space="preserve">d result in </w:t>
      </w:r>
      <w:r w:rsidR="003B5755">
        <w:rPr>
          <w:b/>
          <w:bCs/>
        </w:rPr>
        <w:t>42.0</w:t>
      </w:r>
      <w:r w:rsidR="00E7269B" w:rsidRPr="003904D5">
        <w:rPr>
          <w:b/>
          <w:bCs/>
        </w:rPr>
        <w:t> </w:t>
      </w:r>
      <w:r w:rsidR="00EA6BE6" w:rsidRPr="003904D5">
        <w:rPr>
          <w:b/>
          <w:bCs/>
        </w:rPr>
        <w:t>aMW</w:t>
      </w:r>
      <w:r w:rsidR="00EA6BE6">
        <w:t xml:space="preserve">. The </w:t>
      </w:r>
      <w:r w:rsidR="00EA6BE6" w:rsidRPr="003904D5">
        <w:rPr>
          <w:b/>
          <w:bCs/>
        </w:rPr>
        <w:t xml:space="preserve">team </w:t>
      </w:r>
      <w:r w:rsidRPr="003904D5">
        <w:rPr>
          <w:b/>
          <w:bCs/>
        </w:rPr>
        <w:t>chose 104.4M ft</w:t>
      </w:r>
      <w:r w:rsidRPr="003904D5">
        <w:rPr>
          <w:b/>
          <w:bCs/>
          <w:vertAlign w:val="superscript"/>
        </w:rPr>
        <w:t>2</w:t>
      </w:r>
      <w:r>
        <w:t xml:space="preserve"> to base our current projections upon</w:t>
      </w:r>
      <w:r w:rsidR="00CE61A4">
        <w:t xml:space="preserve">, which results in </w:t>
      </w:r>
      <w:r w:rsidR="003B5755">
        <w:rPr>
          <w:b/>
          <w:bCs/>
        </w:rPr>
        <w:t>19.9</w:t>
      </w:r>
      <w:r w:rsidR="00CE61A4" w:rsidRPr="003904D5">
        <w:rPr>
          <w:b/>
          <w:bCs/>
        </w:rPr>
        <w:t xml:space="preserve"> aMW</w:t>
      </w:r>
      <w:r w:rsidR="00CE61A4">
        <w:t xml:space="preserve"> over 20 years</w:t>
      </w:r>
      <w:r>
        <w:t>.</w:t>
      </w:r>
      <w:r w:rsidR="00EA6BE6">
        <w:t xml:space="preserve"> </w:t>
      </w:r>
    </w:p>
    <w:p w14:paraId="54C22079" w14:textId="3440586D" w:rsidR="00103CE3" w:rsidRDefault="00EA6BE6" w:rsidP="00103CE3">
      <w:r>
        <w:t xml:space="preserve">I find that number is too </w:t>
      </w:r>
      <w:r w:rsidR="005B36A1">
        <w:t>small</w:t>
      </w:r>
      <w:r>
        <w:t xml:space="preserve"> because if this product is released into the market, I don’t </w:t>
      </w:r>
      <w:r w:rsidR="005B36A1">
        <w:t>believe</w:t>
      </w:r>
      <w:r>
        <w:t xml:space="preserve"> that NEEA will be enforcing building type and square footage.  Instead, I believe that the market will decide if this product is right for the building at hand.</w:t>
      </w:r>
      <w:r w:rsidR="00CE61A4">
        <w:t xml:space="preserve"> In order to stay conservative, I’m keeping the market size bounded by the office sector, but I believe that other commercial buildings will take this product on where appropriate.</w:t>
      </w:r>
    </w:p>
    <w:p w14:paraId="6C31CAB0" w14:textId="2F26A86B" w:rsidR="00E7269B" w:rsidRDefault="00CE61A4" w:rsidP="00103CE3">
      <w:r>
        <w:t xml:space="preserve">Given that logic, I chose </w:t>
      </w:r>
      <w:r w:rsidR="005B36A1">
        <w:t xml:space="preserve">a value somewhere in between all the office buildings and the target market.  This gives some leeway to buildings in Oregon and Washington that may </w:t>
      </w:r>
      <w:r w:rsidR="005B36A1">
        <w:lastRenderedPageBreak/>
        <w:t>have endemic problems but are smaller than 50,000 ft</w:t>
      </w:r>
      <w:r w:rsidR="005B36A1">
        <w:rPr>
          <w:vertAlign w:val="superscript"/>
        </w:rPr>
        <w:t>2</w:t>
      </w:r>
      <w:r w:rsidR="005B36A1">
        <w:t xml:space="preserve">. </w:t>
      </w:r>
      <w:r w:rsidR="00E7269B">
        <w:t xml:space="preserve">This conforms with the logic of one of our four pilot buildings, which is under 50,000 </w:t>
      </w:r>
      <w:r w:rsidR="00E7269B" w:rsidRPr="00E7269B">
        <w:t>ft</w:t>
      </w:r>
      <w:r w:rsidR="00E7269B" w:rsidRPr="00E7269B">
        <w:rPr>
          <w:vertAlign w:val="superscript"/>
        </w:rPr>
        <w:t>2</w:t>
      </w:r>
      <w:r w:rsidR="00E7269B">
        <w:t>.</w:t>
      </w:r>
      <w:r w:rsidR="00E7269B">
        <w:rPr>
          <w:rStyle w:val="FootnoteReference"/>
        </w:rPr>
        <w:footnoteReference w:id="4"/>
      </w:r>
    </w:p>
    <w:p w14:paraId="543A8702" w14:textId="0174172C" w:rsidR="00CE61A4" w:rsidRDefault="00E7269B" w:rsidP="00103CE3">
      <w:pPr>
        <w:rPr>
          <w:lang w:eastAsia="zh-CN"/>
        </w:rPr>
      </w:pPr>
      <w:r>
        <w:t xml:space="preserve"> </w:t>
      </w:r>
      <w:r w:rsidR="005B36A1" w:rsidRPr="00E7269B">
        <w:t>This</w:t>
      </w:r>
      <w:r w:rsidR="005B36A1">
        <w:t xml:space="preserve"> results in a </w:t>
      </w:r>
      <w:r w:rsidR="005B36A1" w:rsidRPr="003904D5">
        <w:rPr>
          <w:b/>
          <w:bCs/>
        </w:rPr>
        <w:t>market size</w:t>
      </w:r>
      <w:r w:rsidR="005B36A1">
        <w:t xml:space="preserve"> starting point of </w:t>
      </w:r>
      <w:r w:rsidR="005B36A1" w:rsidRPr="003904D5">
        <w:rPr>
          <w:b/>
          <w:bCs/>
        </w:rPr>
        <w:t>204.2 M ft</w:t>
      </w:r>
      <w:r w:rsidR="005B36A1" w:rsidRPr="003904D5">
        <w:rPr>
          <w:b/>
          <w:bCs/>
          <w:vertAlign w:val="superscript"/>
        </w:rPr>
        <w:t>2</w:t>
      </w:r>
      <w:r w:rsidR="005B36A1" w:rsidRPr="003904D5">
        <w:rPr>
          <w:b/>
          <w:bCs/>
        </w:rPr>
        <w:t>.</w:t>
      </w:r>
      <w:r w:rsidR="003904D5">
        <w:rPr>
          <w:b/>
          <w:bCs/>
          <w:lang w:eastAsia="zh-CN"/>
        </w:rPr>
        <w:t xml:space="preserve"> </w:t>
      </w:r>
      <w:r w:rsidR="003904D5">
        <w:rPr>
          <w:lang w:eastAsia="zh-CN"/>
        </w:rPr>
        <w:t xml:space="preserve">In isolation (with all the other starting point variables held constant), this results in a 20-year value of </w:t>
      </w:r>
      <w:r w:rsidR="003904D5" w:rsidRPr="003904D5">
        <w:rPr>
          <w:b/>
          <w:bCs/>
          <w:lang w:eastAsia="zh-CN"/>
        </w:rPr>
        <w:t>37.</w:t>
      </w:r>
      <w:r w:rsidR="00E638AD">
        <w:rPr>
          <w:b/>
          <w:bCs/>
          <w:lang w:eastAsia="zh-CN"/>
        </w:rPr>
        <w:t>3</w:t>
      </w:r>
      <w:r w:rsidR="003904D5" w:rsidRPr="003904D5">
        <w:rPr>
          <w:b/>
          <w:bCs/>
          <w:lang w:eastAsia="zh-CN"/>
        </w:rPr>
        <w:t> aMW</w:t>
      </w:r>
      <w:r w:rsidR="00FE4313">
        <w:rPr>
          <w:b/>
          <w:bCs/>
          <w:lang w:eastAsia="zh-CN"/>
        </w:rPr>
        <w:t xml:space="preserve">, </w:t>
      </w:r>
      <w:r w:rsidR="00FE4313">
        <w:rPr>
          <w:lang w:eastAsia="zh-CN"/>
        </w:rPr>
        <w:t>a +17.</w:t>
      </w:r>
      <w:r w:rsidR="00E638AD">
        <w:rPr>
          <w:lang w:eastAsia="zh-CN"/>
        </w:rPr>
        <w:t>3</w:t>
      </w:r>
      <w:r w:rsidR="00FE4313">
        <w:rPr>
          <w:lang w:eastAsia="zh-CN"/>
        </w:rPr>
        <w:t>-aMW change from the starting point.</w:t>
      </w:r>
    </w:p>
    <w:p w14:paraId="3C99F918" w14:textId="77777777" w:rsidR="0039265C" w:rsidRDefault="0039265C" w:rsidP="0039265C">
      <w:r>
        <w:t>This table summarizes these figures:</w:t>
      </w:r>
    </w:p>
    <w:p w14:paraId="3AF1B055" w14:textId="257D26A4" w:rsidR="0039265C" w:rsidRDefault="0039265C" w:rsidP="0039265C">
      <w:pPr>
        <w:pStyle w:val="Caption"/>
        <w:keepNext/>
      </w:pPr>
      <w:r>
        <w:t xml:space="preserve">Table </w:t>
      </w:r>
      <w:r w:rsidR="00010C57">
        <w:fldChar w:fldCharType="begin"/>
      </w:r>
      <w:r w:rsidR="00010C57">
        <w:instrText xml:space="preserve"> SEQ Table \* ARABIC </w:instrText>
      </w:r>
      <w:r w:rsidR="00010C57">
        <w:fldChar w:fldCharType="separate"/>
      </w:r>
      <w:r w:rsidR="004D72F2">
        <w:rPr>
          <w:noProof/>
        </w:rPr>
        <w:t>4</w:t>
      </w:r>
      <w:r w:rsidR="00010C57">
        <w:rPr>
          <w:noProof/>
        </w:rPr>
        <w:fldChar w:fldCharType="end"/>
      </w:r>
      <w:r>
        <w:t xml:space="preserve"> Market size sensitivity</w:t>
      </w:r>
    </w:p>
    <w:tbl>
      <w:tblPr>
        <w:tblStyle w:val="LightList-Accent2"/>
        <w:tblW w:w="0" w:type="auto"/>
        <w:tblLook w:val="0460" w:firstRow="1" w:lastRow="1" w:firstColumn="0" w:lastColumn="0" w:noHBand="0" w:noVBand="1"/>
      </w:tblPr>
      <w:tblGrid>
        <w:gridCol w:w="2076"/>
        <w:gridCol w:w="1794"/>
        <w:gridCol w:w="1979"/>
        <w:gridCol w:w="1979"/>
        <w:gridCol w:w="2036"/>
      </w:tblGrid>
      <w:tr w:rsidR="0039265C" w14:paraId="7385A583" w14:textId="77777777" w:rsidTr="0034561C">
        <w:trPr>
          <w:cnfStyle w:val="100000000000" w:firstRow="1" w:lastRow="0" w:firstColumn="0" w:lastColumn="0" w:oddVBand="0" w:evenVBand="0" w:oddHBand="0" w:evenHBand="0" w:firstRowFirstColumn="0" w:firstRowLastColumn="0" w:lastRowFirstColumn="0" w:lastRowLastColumn="0"/>
        </w:trPr>
        <w:tc>
          <w:tcPr>
            <w:tcW w:w="2076" w:type="dxa"/>
          </w:tcPr>
          <w:p w14:paraId="79F5EC6D" w14:textId="77777777" w:rsidR="0039265C" w:rsidRDefault="0039265C" w:rsidP="0034561C">
            <w:r>
              <w:t>Assumption</w:t>
            </w:r>
          </w:p>
        </w:tc>
        <w:tc>
          <w:tcPr>
            <w:tcW w:w="1794" w:type="dxa"/>
          </w:tcPr>
          <w:p w14:paraId="6A7C0236" w14:textId="77777777" w:rsidR="0039265C" w:rsidRDefault="0039265C" w:rsidP="0034561C">
            <w:r>
              <w:t>Starting Value</w:t>
            </w:r>
          </w:p>
        </w:tc>
        <w:tc>
          <w:tcPr>
            <w:tcW w:w="1979" w:type="dxa"/>
          </w:tcPr>
          <w:p w14:paraId="326DD21F" w14:textId="77777777" w:rsidR="0039265C" w:rsidRDefault="0039265C" w:rsidP="0034561C">
            <w:r>
              <w:t>High Value</w:t>
            </w:r>
          </w:p>
        </w:tc>
        <w:tc>
          <w:tcPr>
            <w:tcW w:w="1979" w:type="dxa"/>
          </w:tcPr>
          <w:p w14:paraId="3A22B672" w14:textId="77777777" w:rsidR="0039265C" w:rsidRDefault="0039265C" w:rsidP="0034561C">
            <w:r>
              <w:t>Low Value</w:t>
            </w:r>
          </w:p>
        </w:tc>
        <w:tc>
          <w:tcPr>
            <w:tcW w:w="2036" w:type="dxa"/>
          </w:tcPr>
          <w:p w14:paraId="60BDFC51" w14:textId="77777777" w:rsidR="0039265C" w:rsidRDefault="0039265C" w:rsidP="0034561C">
            <w:r>
              <w:t>Chosen Value</w:t>
            </w:r>
          </w:p>
        </w:tc>
      </w:tr>
      <w:tr w:rsidR="0039265C" w14:paraId="3BE8817C" w14:textId="77777777" w:rsidTr="0034561C">
        <w:trPr>
          <w:cnfStyle w:val="000000100000" w:firstRow="0" w:lastRow="0" w:firstColumn="0" w:lastColumn="0" w:oddVBand="0" w:evenVBand="0" w:oddHBand="1" w:evenHBand="0" w:firstRowFirstColumn="0" w:firstRowLastColumn="0" w:lastRowFirstColumn="0" w:lastRowLastColumn="0"/>
        </w:trPr>
        <w:tc>
          <w:tcPr>
            <w:tcW w:w="2076" w:type="dxa"/>
          </w:tcPr>
          <w:p w14:paraId="692B769E" w14:textId="77777777" w:rsidR="0039265C" w:rsidRDefault="0039265C" w:rsidP="0034561C">
            <w:r>
              <w:t>Market Size</w:t>
            </w:r>
          </w:p>
        </w:tc>
        <w:tc>
          <w:tcPr>
            <w:tcW w:w="1794" w:type="dxa"/>
          </w:tcPr>
          <w:p w14:paraId="4372781F" w14:textId="77777777" w:rsidR="0039265C" w:rsidRDefault="0039265C" w:rsidP="0034561C">
            <w:r>
              <w:t>104.4 M ft</w:t>
            </w:r>
            <w:r>
              <w:rPr>
                <w:vertAlign w:val="superscript"/>
              </w:rPr>
              <w:t>2</w:t>
            </w:r>
          </w:p>
        </w:tc>
        <w:tc>
          <w:tcPr>
            <w:tcW w:w="1979" w:type="dxa"/>
          </w:tcPr>
          <w:p w14:paraId="1977063F" w14:textId="77777777" w:rsidR="0039265C" w:rsidRDefault="0039265C" w:rsidP="0034561C">
            <w:r>
              <w:t>230.8 M ft</w:t>
            </w:r>
            <w:r>
              <w:rPr>
                <w:vertAlign w:val="superscript"/>
              </w:rPr>
              <w:t>2</w:t>
            </w:r>
          </w:p>
        </w:tc>
        <w:tc>
          <w:tcPr>
            <w:tcW w:w="1979" w:type="dxa"/>
          </w:tcPr>
          <w:p w14:paraId="06374F38" w14:textId="77777777" w:rsidR="0039265C" w:rsidRDefault="0039265C" w:rsidP="0034561C">
            <w:r>
              <w:t>104.4M ft</w:t>
            </w:r>
            <w:r>
              <w:rPr>
                <w:vertAlign w:val="superscript"/>
              </w:rPr>
              <w:t>2</w:t>
            </w:r>
          </w:p>
        </w:tc>
        <w:tc>
          <w:tcPr>
            <w:tcW w:w="2036" w:type="dxa"/>
          </w:tcPr>
          <w:p w14:paraId="12E6D0E4" w14:textId="77777777" w:rsidR="0039265C" w:rsidRDefault="0039265C" w:rsidP="0034561C">
            <w:r>
              <w:t>204.2M ft</w:t>
            </w:r>
            <w:r>
              <w:rPr>
                <w:vertAlign w:val="superscript"/>
              </w:rPr>
              <w:t>2</w:t>
            </w:r>
          </w:p>
        </w:tc>
      </w:tr>
      <w:tr w:rsidR="0039265C" w14:paraId="6A6E3559" w14:textId="77777777" w:rsidTr="0034561C">
        <w:trPr>
          <w:cnfStyle w:val="010000000000" w:firstRow="0" w:lastRow="1" w:firstColumn="0" w:lastColumn="0" w:oddVBand="0" w:evenVBand="0" w:oddHBand="0" w:evenHBand="0" w:firstRowFirstColumn="0" w:firstRowLastColumn="0" w:lastRowFirstColumn="0" w:lastRowLastColumn="0"/>
        </w:trPr>
        <w:tc>
          <w:tcPr>
            <w:tcW w:w="2076" w:type="dxa"/>
          </w:tcPr>
          <w:p w14:paraId="61BC56E6" w14:textId="77777777" w:rsidR="0039265C" w:rsidRDefault="0039265C" w:rsidP="0034561C">
            <w:r>
              <w:t>Resulting 20-year aMW</w:t>
            </w:r>
          </w:p>
        </w:tc>
        <w:tc>
          <w:tcPr>
            <w:tcW w:w="1794" w:type="dxa"/>
          </w:tcPr>
          <w:p w14:paraId="115EA221" w14:textId="77777777" w:rsidR="0039265C" w:rsidRDefault="0039265C" w:rsidP="0034561C">
            <w:r>
              <w:t>20.0 aMW</w:t>
            </w:r>
          </w:p>
        </w:tc>
        <w:tc>
          <w:tcPr>
            <w:tcW w:w="1979" w:type="dxa"/>
          </w:tcPr>
          <w:p w14:paraId="767E8707" w14:textId="77777777" w:rsidR="0039265C" w:rsidRDefault="0039265C" w:rsidP="0034561C">
            <w:r>
              <w:t>42.2 aMW</w:t>
            </w:r>
          </w:p>
        </w:tc>
        <w:tc>
          <w:tcPr>
            <w:tcW w:w="1979" w:type="dxa"/>
          </w:tcPr>
          <w:p w14:paraId="6F0F1CD6" w14:textId="77777777" w:rsidR="0039265C" w:rsidRDefault="0039265C" w:rsidP="0034561C">
            <w:r>
              <w:t>20.0 aMW</w:t>
            </w:r>
          </w:p>
        </w:tc>
        <w:tc>
          <w:tcPr>
            <w:tcW w:w="2036" w:type="dxa"/>
          </w:tcPr>
          <w:p w14:paraId="31D24357" w14:textId="512A259E" w:rsidR="0039265C" w:rsidRDefault="0039265C" w:rsidP="00E638AD">
            <w:r>
              <w:t>37.</w:t>
            </w:r>
            <w:r w:rsidR="00E638AD">
              <w:t>3</w:t>
            </w:r>
            <w:r>
              <w:t xml:space="preserve"> aMW</w:t>
            </w:r>
          </w:p>
        </w:tc>
      </w:tr>
    </w:tbl>
    <w:p w14:paraId="3664A23E" w14:textId="111AF480" w:rsidR="00103CE3" w:rsidRDefault="00103CE3" w:rsidP="00103CE3">
      <w:pPr>
        <w:pStyle w:val="Heading2"/>
      </w:pPr>
      <w:bookmarkStart w:id="2" w:name="_Ref376260449"/>
      <w:r>
        <w:t xml:space="preserve">Savings </w:t>
      </w:r>
      <w:r w:rsidR="006528F6">
        <w:t>R</w:t>
      </w:r>
      <w:r>
        <w:t>ate</w:t>
      </w:r>
      <w:bookmarkEnd w:id="2"/>
    </w:p>
    <w:p w14:paraId="4DB0E7A9" w14:textId="08955937" w:rsidR="00103CE3" w:rsidRDefault="00103CE3" w:rsidP="00103CE3">
      <w:r w:rsidRPr="00103CE3">
        <w:t xml:space="preserve">The assumed savings rate of </w:t>
      </w:r>
      <w:r w:rsidRPr="00103CE3">
        <w:rPr>
          <w:b/>
          <w:bCs/>
        </w:rPr>
        <w:t>35% savings (5.85 kWh/ft</w:t>
      </w:r>
      <w:r w:rsidRPr="00103CE3">
        <w:rPr>
          <w:b/>
          <w:bCs/>
          <w:vertAlign w:val="superscript"/>
        </w:rPr>
        <w:t>2</w:t>
      </w:r>
      <w:r w:rsidRPr="00103CE3">
        <w:rPr>
          <w:b/>
          <w:bCs/>
        </w:rPr>
        <w:t>)</w:t>
      </w:r>
      <w:r>
        <w:t xml:space="preserve"> is </w:t>
      </w:r>
      <w:r w:rsidRPr="00103CE3">
        <w:t xml:space="preserve">the minimum figure a building </w:t>
      </w:r>
      <w:r>
        <w:t xml:space="preserve">that </w:t>
      </w:r>
      <w:r w:rsidRPr="00103CE3">
        <w:t xml:space="preserve">met the programmatic intent </w:t>
      </w:r>
      <w:r>
        <w:t>could achieve</w:t>
      </w:r>
      <w:r w:rsidR="00F47EF5">
        <w:t>. That results in a savings of 45.7</w:t>
      </w:r>
      <w:r w:rsidR="001D20FB">
        <w:t> </w:t>
      </w:r>
      <w:r w:rsidR="00F47EF5">
        <w:t>a</w:t>
      </w:r>
      <w:r w:rsidR="001D20FB">
        <w:t xml:space="preserve">MW </w:t>
      </w:r>
      <w:r>
        <w:t>Demonstration</w:t>
      </w:r>
      <w:r w:rsidRPr="00103CE3">
        <w:t xml:space="preserve"> project modeling supports a much higher savings rate</w:t>
      </w:r>
      <w:r>
        <w:t>. T</w:t>
      </w:r>
      <w:r w:rsidRPr="00103CE3">
        <w:t>hese early adopters</w:t>
      </w:r>
      <w:r>
        <w:t xml:space="preserve"> save between </w:t>
      </w:r>
      <w:r w:rsidRPr="00103CE3">
        <w:rPr>
          <w:b/>
          <w:bCs/>
        </w:rPr>
        <w:t>50–60%</w:t>
      </w:r>
      <w:r w:rsidRPr="00103CE3">
        <w:t>, which supports the theory that with existing technology, this is possible.</w:t>
      </w:r>
      <w:r w:rsidR="003904D5">
        <w:t xml:space="preserve"> </w:t>
      </w:r>
      <w:r w:rsidRPr="00103CE3">
        <w:t xml:space="preserve">At a 60% savings rate, savings </w:t>
      </w:r>
      <w:r w:rsidR="00F47EF5">
        <w:t xml:space="preserve">are </w:t>
      </w:r>
      <w:r w:rsidR="00F47EF5">
        <w:rPr>
          <w:b/>
          <w:bCs/>
        </w:rPr>
        <w:t>47.3</w:t>
      </w:r>
      <w:r w:rsidRPr="009110BA">
        <w:rPr>
          <w:b/>
          <w:bCs/>
        </w:rPr>
        <w:t xml:space="preserve"> aMW</w:t>
      </w:r>
      <w:r w:rsidR="00FE4313">
        <w:rPr>
          <w:b/>
          <w:bCs/>
        </w:rPr>
        <w:t xml:space="preserve">, </w:t>
      </w:r>
      <w:r w:rsidR="00FE4313">
        <w:t>a +27.3-aMW change from the starting point</w:t>
      </w:r>
      <w:r w:rsidRPr="00103CE3">
        <w:t>.</w:t>
      </w:r>
    </w:p>
    <w:p w14:paraId="1E24E1FB" w14:textId="35A65BB1" w:rsidR="00F47EF5" w:rsidRDefault="00F47EF5" w:rsidP="00103CE3">
      <w:r>
        <w:t>I am using a middle range, whereby the team estimated a variable savings rate.  It is graphically interpreted here</w:t>
      </w:r>
      <w:r w:rsidR="00147293">
        <w:t>, and I am dubbing this the “</w:t>
      </w:r>
      <w:r w:rsidR="00147293" w:rsidRPr="00147293">
        <w:rPr>
          <w:b/>
        </w:rPr>
        <w:t>U-shaped values</w:t>
      </w:r>
      <w:r w:rsidR="00147293">
        <w:t>”</w:t>
      </w:r>
      <w:r>
        <w:t>:</w:t>
      </w:r>
    </w:p>
    <w:p w14:paraId="0A3597F2" w14:textId="77777777" w:rsidR="00147293" w:rsidRDefault="00147293" w:rsidP="00147293">
      <w:pPr>
        <w:jc w:val="center"/>
      </w:pPr>
    </w:p>
    <w:p w14:paraId="4512E259" w14:textId="0097CE28" w:rsidR="00147293" w:rsidRDefault="00147293" w:rsidP="00147293">
      <w:pPr>
        <w:pStyle w:val="Caption"/>
        <w:keepNext/>
        <w:jc w:val="center"/>
      </w:pPr>
      <w:r>
        <w:lastRenderedPageBreak/>
        <w:t xml:space="preserve">Table </w:t>
      </w:r>
      <w:r w:rsidR="00010C57">
        <w:fldChar w:fldCharType="begin"/>
      </w:r>
      <w:r w:rsidR="00010C57">
        <w:instrText xml:space="preserve"> SEQ Table \* ARABIC </w:instrText>
      </w:r>
      <w:r w:rsidR="00010C57">
        <w:fldChar w:fldCharType="separate"/>
      </w:r>
      <w:r w:rsidR="004D72F2">
        <w:rPr>
          <w:noProof/>
        </w:rPr>
        <w:t>5</w:t>
      </w:r>
      <w:r w:rsidR="00010C57">
        <w:rPr>
          <w:noProof/>
        </w:rPr>
        <w:fldChar w:fldCharType="end"/>
      </w:r>
      <w:r>
        <w:t xml:space="preserve"> The "U-shaped values" illustrated</w:t>
      </w:r>
    </w:p>
    <w:p w14:paraId="2003221D" w14:textId="4BB56D79" w:rsidR="00F47EF5" w:rsidRDefault="00F47EF5" w:rsidP="00147293">
      <w:pPr>
        <w:jc w:val="center"/>
      </w:pPr>
      <w:r>
        <w:rPr>
          <w:noProof/>
          <w:lang w:eastAsia="zh-CN" w:bidi="hi-IN"/>
        </w:rPr>
        <w:drawing>
          <wp:inline distT="0" distB="0" distL="0" distR="0" wp14:anchorId="582CE73E" wp14:editId="55CF36FB">
            <wp:extent cx="4584700" cy="27559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a:graphicData>
            </a:graphic>
          </wp:inline>
        </w:drawing>
      </w:r>
    </w:p>
    <w:p w14:paraId="703F501E" w14:textId="6C4C7BDF" w:rsidR="00F47EF5" w:rsidRDefault="00F47EF5" w:rsidP="00103CE3">
      <w:r>
        <w:t>An important corollary is to see the market penetration theory on the same axis:</w:t>
      </w:r>
    </w:p>
    <w:p w14:paraId="75702B3B" w14:textId="6CE99754" w:rsidR="00F47EF5" w:rsidRDefault="00F47EF5" w:rsidP="009F61CB">
      <w:pPr>
        <w:jc w:val="center"/>
      </w:pPr>
      <w:r>
        <w:rPr>
          <w:noProof/>
          <w:lang w:eastAsia="zh-CN" w:bidi="hi-IN"/>
        </w:rPr>
        <w:drawing>
          <wp:inline distT="0" distB="0" distL="0" distR="0" wp14:anchorId="06CA173D" wp14:editId="2D896EAB">
            <wp:extent cx="4584700" cy="27559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2031FD9" w14:textId="23BA855E" w:rsidR="00F47EF5" w:rsidRDefault="00F47EF5" w:rsidP="00103CE3">
      <w:r>
        <w:t xml:space="preserve">Using this graduated savings rate results in a 20-year figure of </w:t>
      </w:r>
      <w:r w:rsidR="009F61CB">
        <w:rPr>
          <w:b/>
          <w:bCs/>
        </w:rPr>
        <w:t>25.7</w:t>
      </w:r>
      <w:r w:rsidR="00C64DE7" w:rsidRPr="00C64DE7">
        <w:rPr>
          <w:b/>
          <w:bCs/>
        </w:rPr>
        <w:t xml:space="preserve"> aMW</w:t>
      </w:r>
      <w:r w:rsidR="00C64DE7">
        <w:rPr>
          <w:b/>
          <w:bCs/>
        </w:rPr>
        <w:t xml:space="preserve">, </w:t>
      </w:r>
      <w:r w:rsidR="00C64DE7" w:rsidRPr="00C64DE7">
        <w:t>a +</w:t>
      </w:r>
      <w:r w:rsidR="009F61CB">
        <w:t>5.8</w:t>
      </w:r>
      <w:r w:rsidR="00C64DE7" w:rsidRPr="00C64DE7">
        <w:t xml:space="preserve"> </w:t>
      </w:r>
      <w:r w:rsidR="00C64DE7">
        <w:t xml:space="preserve">aMW </w:t>
      </w:r>
      <w:r w:rsidR="00C64DE7" w:rsidRPr="00C64DE7">
        <w:t>change from the starting point.</w:t>
      </w:r>
    </w:p>
    <w:tbl>
      <w:tblPr>
        <w:tblStyle w:val="LightList-Accent2"/>
        <w:tblW w:w="0" w:type="auto"/>
        <w:tblLook w:val="0460" w:firstRow="1" w:lastRow="1" w:firstColumn="0" w:lastColumn="0" w:noHBand="0" w:noVBand="1"/>
      </w:tblPr>
      <w:tblGrid>
        <w:gridCol w:w="2076"/>
        <w:gridCol w:w="1794"/>
        <w:gridCol w:w="1979"/>
        <w:gridCol w:w="1979"/>
        <w:gridCol w:w="2036"/>
      </w:tblGrid>
      <w:tr w:rsidR="001D20FB" w14:paraId="05610DFA" w14:textId="77777777" w:rsidTr="0034561C">
        <w:trPr>
          <w:cnfStyle w:val="100000000000" w:firstRow="1" w:lastRow="0" w:firstColumn="0" w:lastColumn="0" w:oddVBand="0" w:evenVBand="0" w:oddHBand="0" w:evenHBand="0" w:firstRowFirstColumn="0" w:firstRowLastColumn="0" w:lastRowFirstColumn="0" w:lastRowLastColumn="0"/>
        </w:trPr>
        <w:tc>
          <w:tcPr>
            <w:tcW w:w="2076" w:type="dxa"/>
          </w:tcPr>
          <w:p w14:paraId="5AAE9AA2" w14:textId="77777777" w:rsidR="001D20FB" w:rsidRDefault="001D20FB" w:rsidP="0034561C">
            <w:r>
              <w:t>Assumption</w:t>
            </w:r>
          </w:p>
        </w:tc>
        <w:tc>
          <w:tcPr>
            <w:tcW w:w="1794" w:type="dxa"/>
          </w:tcPr>
          <w:p w14:paraId="776F141C" w14:textId="77777777" w:rsidR="001D20FB" w:rsidRDefault="001D20FB" w:rsidP="0034561C">
            <w:r>
              <w:t>Starting Value</w:t>
            </w:r>
          </w:p>
        </w:tc>
        <w:tc>
          <w:tcPr>
            <w:tcW w:w="1979" w:type="dxa"/>
          </w:tcPr>
          <w:p w14:paraId="7B637F83" w14:textId="77777777" w:rsidR="001D20FB" w:rsidRDefault="001D20FB" w:rsidP="0034561C">
            <w:r>
              <w:t>High Value</w:t>
            </w:r>
          </w:p>
        </w:tc>
        <w:tc>
          <w:tcPr>
            <w:tcW w:w="1979" w:type="dxa"/>
          </w:tcPr>
          <w:p w14:paraId="331FC2D8" w14:textId="77777777" w:rsidR="001D20FB" w:rsidRDefault="001D20FB" w:rsidP="0034561C">
            <w:r>
              <w:t>Low Value</w:t>
            </w:r>
          </w:p>
        </w:tc>
        <w:tc>
          <w:tcPr>
            <w:tcW w:w="2036" w:type="dxa"/>
          </w:tcPr>
          <w:p w14:paraId="6482B4DA" w14:textId="77777777" w:rsidR="001D20FB" w:rsidRDefault="001D20FB" w:rsidP="0034561C">
            <w:r>
              <w:t>Chosen Value</w:t>
            </w:r>
          </w:p>
        </w:tc>
      </w:tr>
      <w:tr w:rsidR="00147293" w14:paraId="3E521ED8" w14:textId="77777777" w:rsidTr="0034561C">
        <w:trPr>
          <w:cnfStyle w:val="000000100000" w:firstRow="0" w:lastRow="0" w:firstColumn="0" w:lastColumn="0" w:oddVBand="0" w:evenVBand="0" w:oddHBand="1" w:evenHBand="0" w:firstRowFirstColumn="0" w:firstRowLastColumn="0" w:lastRowFirstColumn="0" w:lastRowLastColumn="0"/>
        </w:trPr>
        <w:tc>
          <w:tcPr>
            <w:tcW w:w="2076" w:type="dxa"/>
          </w:tcPr>
          <w:p w14:paraId="7761F02E" w14:textId="77777777" w:rsidR="00147293" w:rsidRPr="00147293" w:rsidRDefault="00147293" w:rsidP="0034561C">
            <w:pPr>
              <w:rPr>
                <w:color w:val="808080" w:themeColor="background1" w:themeShade="80"/>
              </w:rPr>
            </w:pPr>
            <w:r w:rsidRPr="00147293">
              <w:rPr>
                <w:color w:val="808080" w:themeColor="background1" w:themeShade="80"/>
              </w:rPr>
              <w:t>Market Size</w:t>
            </w:r>
          </w:p>
        </w:tc>
        <w:tc>
          <w:tcPr>
            <w:tcW w:w="1794" w:type="dxa"/>
          </w:tcPr>
          <w:p w14:paraId="0348160B" w14:textId="77777777" w:rsidR="00147293" w:rsidRPr="00147293" w:rsidRDefault="00147293" w:rsidP="0034561C">
            <w:pPr>
              <w:rPr>
                <w:color w:val="808080" w:themeColor="background1" w:themeShade="80"/>
              </w:rPr>
            </w:pPr>
            <w:r w:rsidRPr="00147293">
              <w:rPr>
                <w:color w:val="808080" w:themeColor="background1" w:themeShade="80"/>
              </w:rPr>
              <w:t>104.4 M ft</w:t>
            </w:r>
            <w:r w:rsidRPr="00147293">
              <w:rPr>
                <w:color w:val="808080" w:themeColor="background1" w:themeShade="80"/>
                <w:vertAlign w:val="superscript"/>
              </w:rPr>
              <w:t>2</w:t>
            </w:r>
          </w:p>
        </w:tc>
        <w:tc>
          <w:tcPr>
            <w:tcW w:w="5994" w:type="dxa"/>
            <w:gridSpan w:val="3"/>
          </w:tcPr>
          <w:p w14:paraId="79D01211" w14:textId="4AC7B702" w:rsidR="00147293" w:rsidRPr="00147293" w:rsidRDefault="00147293" w:rsidP="0034561C">
            <w:pPr>
              <w:rPr>
                <w:color w:val="808080" w:themeColor="background1" w:themeShade="80"/>
              </w:rPr>
            </w:pPr>
            <w:r w:rsidRPr="00147293">
              <w:rPr>
                <w:color w:val="808080" w:themeColor="background1" w:themeShade="80"/>
              </w:rPr>
              <w:t>Using starting value to isolate variable</w:t>
            </w:r>
          </w:p>
        </w:tc>
      </w:tr>
      <w:tr w:rsidR="001D20FB" w14:paraId="510E964B" w14:textId="77777777" w:rsidTr="0034561C">
        <w:tc>
          <w:tcPr>
            <w:tcW w:w="2076" w:type="dxa"/>
          </w:tcPr>
          <w:p w14:paraId="252ABE70" w14:textId="241C0F53" w:rsidR="001D20FB" w:rsidRDefault="00147293" w:rsidP="0034561C">
            <w:r>
              <w:t>Savings Rate</w:t>
            </w:r>
          </w:p>
        </w:tc>
        <w:tc>
          <w:tcPr>
            <w:tcW w:w="1794" w:type="dxa"/>
          </w:tcPr>
          <w:p w14:paraId="73D88FCC" w14:textId="6384B187" w:rsidR="001D20FB" w:rsidRDefault="00147293" w:rsidP="0034561C">
            <w:r>
              <w:t>35%</w:t>
            </w:r>
          </w:p>
        </w:tc>
        <w:tc>
          <w:tcPr>
            <w:tcW w:w="1979" w:type="dxa"/>
          </w:tcPr>
          <w:p w14:paraId="56117F64" w14:textId="0F00747F" w:rsidR="001D20FB" w:rsidRDefault="00147293" w:rsidP="0034561C">
            <w:r>
              <w:t>60%</w:t>
            </w:r>
          </w:p>
        </w:tc>
        <w:tc>
          <w:tcPr>
            <w:tcW w:w="1979" w:type="dxa"/>
          </w:tcPr>
          <w:p w14:paraId="785109F3" w14:textId="1F81DC51" w:rsidR="001D20FB" w:rsidRDefault="00147293" w:rsidP="0034561C">
            <w:r>
              <w:t>35%</w:t>
            </w:r>
          </w:p>
        </w:tc>
        <w:tc>
          <w:tcPr>
            <w:tcW w:w="2036" w:type="dxa"/>
          </w:tcPr>
          <w:p w14:paraId="57F79B53" w14:textId="70CF04A3" w:rsidR="001D20FB" w:rsidRDefault="00147293" w:rsidP="0034561C">
            <w:r>
              <w:t>U-shaped values</w:t>
            </w:r>
          </w:p>
        </w:tc>
      </w:tr>
      <w:tr w:rsidR="001D20FB" w14:paraId="3B2C7994" w14:textId="77777777" w:rsidTr="0034561C">
        <w:trPr>
          <w:cnfStyle w:val="010000000000" w:firstRow="0" w:lastRow="1" w:firstColumn="0" w:lastColumn="0" w:oddVBand="0" w:evenVBand="0" w:oddHBand="0" w:evenHBand="0" w:firstRowFirstColumn="0" w:firstRowLastColumn="0" w:lastRowFirstColumn="0" w:lastRowLastColumn="0"/>
        </w:trPr>
        <w:tc>
          <w:tcPr>
            <w:tcW w:w="2076" w:type="dxa"/>
          </w:tcPr>
          <w:p w14:paraId="6F762A4B" w14:textId="77777777" w:rsidR="001D20FB" w:rsidRDefault="001D20FB" w:rsidP="0034561C">
            <w:r>
              <w:t>Resulting 20-year aMW</w:t>
            </w:r>
          </w:p>
        </w:tc>
        <w:tc>
          <w:tcPr>
            <w:tcW w:w="1794" w:type="dxa"/>
          </w:tcPr>
          <w:p w14:paraId="234179AE" w14:textId="5D1E37CB" w:rsidR="001D20FB" w:rsidRDefault="009F61CB" w:rsidP="0034561C">
            <w:r>
              <w:t>19.9</w:t>
            </w:r>
            <w:r w:rsidR="001D20FB">
              <w:t xml:space="preserve"> aMW</w:t>
            </w:r>
          </w:p>
        </w:tc>
        <w:tc>
          <w:tcPr>
            <w:tcW w:w="1979" w:type="dxa"/>
          </w:tcPr>
          <w:p w14:paraId="21E5DA8F" w14:textId="5D4C4560" w:rsidR="001D20FB" w:rsidRDefault="009F61CB" w:rsidP="0034561C">
            <w:r>
              <w:t>33.6</w:t>
            </w:r>
            <w:r w:rsidR="001D20FB">
              <w:t xml:space="preserve"> aMW</w:t>
            </w:r>
          </w:p>
        </w:tc>
        <w:tc>
          <w:tcPr>
            <w:tcW w:w="1979" w:type="dxa"/>
          </w:tcPr>
          <w:p w14:paraId="09FE6B55" w14:textId="45676284" w:rsidR="001D20FB" w:rsidRDefault="009F61CB" w:rsidP="0034561C">
            <w:r>
              <w:t>19.9</w:t>
            </w:r>
            <w:r w:rsidR="001D20FB">
              <w:t xml:space="preserve"> aMW</w:t>
            </w:r>
          </w:p>
        </w:tc>
        <w:tc>
          <w:tcPr>
            <w:tcW w:w="2036" w:type="dxa"/>
          </w:tcPr>
          <w:p w14:paraId="00684505" w14:textId="1155368B" w:rsidR="001D20FB" w:rsidRDefault="009F61CB" w:rsidP="0034561C">
            <w:r>
              <w:t>25.7</w:t>
            </w:r>
            <w:r w:rsidR="001D20FB">
              <w:t xml:space="preserve"> aMW</w:t>
            </w:r>
          </w:p>
        </w:tc>
      </w:tr>
    </w:tbl>
    <w:p w14:paraId="648C4302" w14:textId="77777777" w:rsidR="001D20FB" w:rsidRPr="00103CE3" w:rsidRDefault="001D20FB" w:rsidP="00103CE3"/>
    <w:p w14:paraId="16B40EA5" w14:textId="77777777" w:rsidR="00103CE3" w:rsidRDefault="00103CE3" w:rsidP="00103CE3">
      <w:pPr>
        <w:pStyle w:val="Heading2"/>
      </w:pPr>
      <w:r>
        <w:lastRenderedPageBreak/>
        <w:t>Code applicability</w:t>
      </w:r>
    </w:p>
    <w:p w14:paraId="14A29807" w14:textId="6AC64915" w:rsidR="00103CE3" w:rsidRDefault="00FE4313" w:rsidP="00103CE3">
      <w:r>
        <w:t xml:space="preserve">The crux of this </w:t>
      </w:r>
      <w:r w:rsidR="00393728">
        <w:t>case</w:t>
      </w:r>
      <w:r>
        <w:t xml:space="preserve"> has to do with the code applicability and the intersection therein. In order to get a handle on this, I used the new-construction codes model and the changes slated for each code cycle by state.</w:t>
      </w:r>
      <w:r w:rsidR="00BC027C">
        <w:t xml:space="preserve"> Before we can arrive at a variable or a result, we have to consider the following attributes:</w:t>
      </w:r>
    </w:p>
    <w:p w14:paraId="542746F6" w14:textId="256CFCDE" w:rsidR="00BC027C" w:rsidRDefault="00BC027C" w:rsidP="00BC027C">
      <w:pPr>
        <w:pStyle w:val="ListParagraph"/>
        <w:numPr>
          <w:ilvl w:val="0"/>
          <w:numId w:val="18"/>
        </w:numPr>
      </w:pPr>
      <w:r>
        <w:t>Likelihood in the market of EBR-style deep-energy retrofits</w:t>
      </w:r>
    </w:p>
    <w:p w14:paraId="2A7D5685" w14:textId="1B430B42" w:rsidR="00BC027C" w:rsidRPr="00103CE3" w:rsidRDefault="00BC027C" w:rsidP="00BC027C">
      <w:pPr>
        <w:pStyle w:val="ListParagraph"/>
        <w:numPr>
          <w:ilvl w:val="0"/>
          <w:numId w:val="18"/>
        </w:numPr>
      </w:pPr>
      <w:r>
        <w:t>Building energy systems’ likelihood to be changed out without the influence of EBR</w:t>
      </w:r>
    </w:p>
    <w:p w14:paraId="3CAEEDFB" w14:textId="75B3232A" w:rsidR="00103CE3" w:rsidRDefault="00103CE3" w:rsidP="00BC027C">
      <w:pPr>
        <w:pStyle w:val="Heading3"/>
      </w:pPr>
      <w:r>
        <w:t xml:space="preserve">Likelihood of EBR-style </w:t>
      </w:r>
      <w:r w:rsidR="00444DE3">
        <w:t>Renovations</w:t>
      </w:r>
    </w:p>
    <w:p w14:paraId="1DEC7AD2" w14:textId="7D890E53" w:rsidR="00103CE3" w:rsidRDefault="00676D3C" w:rsidP="00103CE3">
      <w:r>
        <w:t xml:space="preserve">It is crucial to note that </w:t>
      </w:r>
      <w:r w:rsidR="005944AD">
        <w:t>XXX</w:t>
      </w:r>
      <w:r w:rsidR="00393728">
        <w:t xml:space="preserve"> Consulting’s</w:t>
      </w:r>
      <w:r>
        <w:t xml:space="preserve"> baseline research will ultimately be the arbiter of this particular argument.  </w:t>
      </w:r>
      <w:r w:rsidR="00393728">
        <w:t>However,</w:t>
      </w:r>
      <w:r>
        <w:t xml:space="preserve"> in the interim, I was asked to quantify the code risk to the initiative. </w:t>
      </w:r>
    </w:p>
    <w:p w14:paraId="37178501" w14:textId="6C0D2F26" w:rsidR="00676D3C" w:rsidRDefault="00676D3C" w:rsidP="00103CE3">
      <w:r>
        <w:t xml:space="preserve">I worked with the EBR team and </w:t>
      </w:r>
      <w:r w:rsidR="005944AD">
        <w:t>the senior c</w:t>
      </w:r>
      <w:r>
        <w:t xml:space="preserve">odes </w:t>
      </w:r>
      <w:r w:rsidR="005944AD">
        <w:t>m</w:t>
      </w:r>
      <w:r>
        <w:t>anager over the course of September and October of 2013 to create some assumptions.  The team and I are all aware that these assumptions are based on gut instinct and are not backed with any data</w:t>
      </w:r>
      <w:r w:rsidR="00AF5C08">
        <w:rPr>
          <w:rStyle w:val="FootnoteReference"/>
        </w:rPr>
        <w:footnoteReference w:id="5"/>
      </w:r>
      <w:r>
        <w:t>.</w:t>
      </w:r>
      <w:r w:rsidR="00393728">
        <w:t xml:space="preserve"> Nevertheless, for transparency and clarity, here are the assumptions the team devised:</w:t>
      </w:r>
    </w:p>
    <w:p w14:paraId="0143B9DA" w14:textId="6CD83E7E" w:rsidR="00AF5C08" w:rsidRDefault="00AF5C08" w:rsidP="00AF5C08">
      <w:pPr>
        <w:pStyle w:val="Caption"/>
        <w:keepNext/>
      </w:pPr>
      <w:r>
        <w:t xml:space="preserve">Table </w:t>
      </w:r>
      <w:r w:rsidR="00010C57">
        <w:fldChar w:fldCharType="begin"/>
      </w:r>
      <w:r w:rsidR="00010C57">
        <w:instrText xml:space="preserve"> </w:instrText>
      </w:r>
      <w:r w:rsidR="00010C57">
        <w:instrText xml:space="preserve">SEQ Table \* ARABIC </w:instrText>
      </w:r>
      <w:r w:rsidR="00010C57">
        <w:fldChar w:fldCharType="separate"/>
      </w:r>
      <w:r w:rsidR="004D72F2">
        <w:rPr>
          <w:noProof/>
        </w:rPr>
        <w:t>6</w:t>
      </w:r>
      <w:r w:rsidR="00010C57">
        <w:rPr>
          <w:noProof/>
        </w:rPr>
        <w:fldChar w:fldCharType="end"/>
      </w:r>
      <w:r>
        <w:t xml:space="preserve"> Population characteristics assumptions with respect to participant motivations</w:t>
      </w:r>
    </w:p>
    <w:tbl>
      <w:tblPr>
        <w:tblW w:w="0" w:type="auto"/>
        <w:tblLayout w:type="fixed"/>
        <w:tblLook w:val="04A0" w:firstRow="1" w:lastRow="0" w:firstColumn="1" w:lastColumn="0" w:noHBand="0" w:noVBand="1"/>
      </w:tblPr>
      <w:tblGrid>
        <w:gridCol w:w="1278"/>
        <w:gridCol w:w="1440"/>
        <w:gridCol w:w="1096"/>
        <w:gridCol w:w="2504"/>
        <w:gridCol w:w="3546"/>
      </w:tblGrid>
      <w:tr w:rsidR="00AF5C08" w:rsidRPr="00393728" w14:paraId="210D39FB" w14:textId="77777777" w:rsidTr="00AF5C08">
        <w:trPr>
          <w:trHeight w:val="330"/>
        </w:trPr>
        <w:tc>
          <w:tcPr>
            <w:tcW w:w="1278" w:type="dxa"/>
            <w:tcBorders>
              <w:top w:val="single" w:sz="12" w:space="0" w:color="A7BFDE"/>
              <w:left w:val="single" w:sz="4" w:space="0" w:color="92CDDC"/>
              <w:bottom w:val="single" w:sz="4" w:space="0" w:color="92CDDC"/>
              <w:right w:val="nil"/>
            </w:tcBorders>
            <w:shd w:val="clear" w:color="4BACC6" w:fill="4BACC6"/>
            <w:noWrap/>
            <w:vAlign w:val="bottom"/>
            <w:hideMark/>
          </w:tcPr>
          <w:p w14:paraId="7C653958" w14:textId="77777777" w:rsidR="00393728" w:rsidRPr="00CF5590" w:rsidRDefault="00393728" w:rsidP="00CF5590">
            <w:pPr>
              <w:pStyle w:val="Tabledata"/>
            </w:pPr>
            <w:r w:rsidRPr="00CF5590">
              <w:t>Category</w:t>
            </w:r>
          </w:p>
        </w:tc>
        <w:tc>
          <w:tcPr>
            <w:tcW w:w="1440" w:type="dxa"/>
            <w:tcBorders>
              <w:top w:val="single" w:sz="12" w:space="0" w:color="A7BFDE"/>
              <w:left w:val="nil"/>
              <w:bottom w:val="single" w:sz="4" w:space="0" w:color="92CDDC"/>
              <w:right w:val="nil"/>
            </w:tcBorders>
            <w:shd w:val="clear" w:color="4BACC6" w:fill="4BACC6"/>
            <w:noWrap/>
            <w:vAlign w:val="bottom"/>
            <w:hideMark/>
          </w:tcPr>
          <w:p w14:paraId="5255D07D" w14:textId="77777777" w:rsidR="00393728" w:rsidRPr="00CF5590" w:rsidRDefault="00393728" w:rsidP="00CF5590">
            <w:pPr>
              <w:pStyle w:val="Tabledata"/>
            </w:pPr>
            <w:r w:rsidRPr="00CF5590">
              <w:t>% of savings booked to EBR</w:t>
            </w:r>
          </w:p>
        </w:tc>
        <w:tc>
          <w:tcPr>
            <w:tcW w:w="1096" w:type="dxa"/>
            <w:tcBorders>
              <w:top w:val="single" w:sz="12" w:space="0" w:color="A7BFDE"/>
              <w:left w:val="nil"/>
              <w:bottom w:val="single" w:sz="4" w:space="0" w:color="92CDDC"/>
              <w:right w:val="nil"/>
            </w:tcBorders>
            <w:shd w:val="clear" w:color="4BACC6" w:fill="4BACC6"/>
            <w:noWrap/>
            <w:vAlign w:val="bottom"/>
            <w:hideMark/>
          </w:tcPr>
          <w:p w14:paraId="412C3E6D" w14:textId="77777777" w:rsidR="00393728" w:rsidRPr="00CF5590" w:rsidRDefault="00393728" w:rsidP="00CF5590">
            <w:pPr>
              <w:pStyle w:val="Tabledata"/>
            </w:pPr>
            <w:r w:rsidRPr="00CF5590">
              <w:t>% that overlaps with code</w:t>
            </w:r>
          </w:p>
        </w:tc>
        <w:tc>
          <w:tcPr>
            <w:tcW w:w="2504" w:type="dxa"/>
            <w:tcBorders>
              <w:top w:val="single" w:sz="12" w:space="0" w:color="A7BFDE"/>
              <w:left w:val="nil"/>
              <w:bottom w:val="single" w:sz="4" w:space="0" w:color="92CDDC"/>
              <w:right w:val="nil"/>
            </w:tcBorders>
            <w:shd w:val="clear" w:color="4BACC6" w:fill="4BACC6"/>
            <w:noWrap/>
            <w:vAlign w:val="bottom"/>
            <w:hideMark/>
          </w:tcPr>
          <w:p w14:paraId="5963AE78" w14:textId="77777777" w:rsidR="00393728" w:rsidRPr="00CF5590" w:rsidRDefault="00393728" w:rsidP="00CF5590">
            <w:pPr>
              <w:pStyle w:val="Tabledata"/>
            </w:pPr>
            <w:r w:rsidRPr="00CF5590">
              <w:t>% of population in category</w:t>
            </w:r>
          </w:p>
        </w:tc>
        <w:tc>
          <w:tcPr>
            <w:tcW w:w="3546" w:type="dxa"/>
            <w:tcBorders>
              <w:top w:val="single" w:sz="12" w:space="0" w:color="A7BFDE"/>
              <w:left w:val="single" w:sz="4" w:space="0" w:color="auto"/>
              <w:bottom w:val="single" w:sz="4" w:space="0" w:color="auto"/>
              <w:right w:val="single" w:sz="4" w:space="0" w:color="92CDDC"/>
            </w:tcBorders>
            <w:shd w:val="clear" w:color="4BACC6" w:fill="4BACC6"/>
            <w:noWrap/>
            <w:vAlign w:val="bottom"/>
            <w:hideMark/>
          </w:tcPr>
          <w:p w14:paraId="60290763" w14:textId="77777777" w:rsidR="00393728" w:rsidRPr="00CF5590" w:rsidRDefault="00393728" w:rsidP="00CF5590">
            <w:pPr>
              <w:pStyle w:val="Tabledata"/>
            </w:pPr>
            <w:r w:rsidRPr="00CF5590">
              <w:t>Source</w:t>
            </w:r>
          </w:p>
        </w:tc>
      </w:tr>
      <w:tr w:rsidR="00AF5C08" w:rsidRPr="00393728" w14:paraId="1106E4AB" w14:textId="77777777" w:rsidTr="00CF5590">
        <w:trPr>
          <w:trHeight w:val="810"/>
        </w:trPr>
        <w:tc>
          <w:tcPr>
            <w:tcW w:w="1278" w:type="dxa"/>
            <w:tcBorders>
              <w:top w:val="single" w:sz="4" w:space="0" w:color="92CDDC"/>
              <w:left w:val="single" w:sz="4" w:space="0" w:color="92CDDC"/>
              <w:bottom w:val="single" w:sz="4" w:space="0" w:color="92CDDC"/>
              <w:right w:val="nil"/>
            </w:tcBorders>
            <w:shd w:val="clear" w:color="000000" w:fill="FFFFFF"/>
            <w:vAlign w:val="center"/>
            <w:hideMark/>
          </w:tcPr>
          <w:p w14:paraId="137623EF" w14:textId="77777777" w:rsidR="00393728" w:rsidRPr="00CF5590" w:rsidRDefault="00393728" w:rsidP="00CF5590">
            <w:pPr>
              <w:pStyle w:val="Tabledata"/>
            </w:pPr>
            <w:r w:rsidRPr="00CF5590">
              <w:t>Participants who would never have done EBR</w:t>
            </w:r>
          </w:p>
        </w:tc>
        <w:tc>
          <w:tcPr>
            <w:tcW w:w="1440"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364D41D2" w14:textId="77777777" w:rsidR="00393728" w:rsidRPr="00CF5590" w:rsidRDefault="00393728" w:rsidP="00CF5590">
            <w:pPr>
              <w:pStyle w:val="Tabledata"/>
              <w:jc w:val="center"/>
            </w:pPr>
            <w:r w:rsidRPr="00CF5590">
              <w:t>100%</w:t>
            </w:r>
          </w:p>
        </w:tc>
        <w:tc>
          <w:tcPr>
            <w:tcW w:w="1096" w:type="dxa"/>
            <w:tcBorders>
              <w:top w:val="single" w:sz="4" w:space="0" w:color="7F7F7F"/>
              <w:left w:val="single" w:sz="4" w:space="0" w:color="7F7F7F"/>
              <w:bottom w:val="single" w:sz="4" w:space="0" w:color="7F7F7F"/>
              <w:right w:val="single" w:sz="4" w:space="0" w:color="7F7F7F"/>
            </w:tcBorders>
            <w:shd w:val="clear" w:color="000000" w:fill="F2F2F2"/>
            <w:noWrap/>
            <w:vAlign w:val="center"/>
            <w:hideMark/>
          </w:tcPr>
          <w:p w14:paraId="4CE2DF65" w14:textId="77777777" w:rsidR="00393728" w:rsidRPr="00CF5590" w:rsidRDefault="00393728" w:rsidP="00CF5590">
            <w:pPr>
              <w:pStyle w:val="Tabledata"/>
              <w:jc w:val="center"/>
            </w:pPr>
            <w:r w:rsidRPr="00CF5590">
              <w:t>0%</w:t>
            </w:r>
          </w:p>
        </w:tc>
        <w:tc>
          <w:tcPr>
            <w:tcW w:w="2504"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36A0F1D2" w14:textId="77777777" w:rsidR="00393728" w:rsidRPr="00CF5590" w:rsidRDefault="00393728" w:rsidP="00CF5590">
            <w:pPr>
              <w:pStyle w:val="Tabledata"/>
              <w:jc w:val="center"/>
            </w:pPr>
            <w:r w:rsidRPr="00CF5590">
              <w:t>50%</w:t>
            </w:r>
          </w:p>
        </w:tc>
        <w:tc>
          <w:tcPr>
            <w:tcW w:w="3546" w:type="dxa"/>
            <w:tcBorders>
              <w:top w:val="single" w:sz="4" w:space="0" w:color="92CDDC"/>
              <w:left w:val="nil"/>
              <w:bottom w:val="single" w:sz="4" w:space="0" w:color="92CDDC"/>
              <w:right w:val="single" w:sz="4" w:space="0" w:color="92CDDC"/>
            </w:tcBorders>
            <w:shd w:val="clear" w:color="000000" w:fill="FFDE75"/>
            <w:noWrap/>
            <w:vAlign w:val="center"/>
            <w:hideMark/>
          </w:tcPr>
          <w:p w14:paraId="5769CDBE" w14:textId="0EC47778" w:rsidR="00393728" w:rsidRPr="00CF5590" w:rsidRDefault="00393728" w:rsidP="005944AD">
            <w:pPr>
              <w:pStyle w:val="Tabledata"/>
              <w:jc w:val="right"/>
            </w:pPr>
            <w:r w:rsidRPr="00CF5590">
              <w:t>(20)</w:t>
            </w:r>
            <w:r w:rsidR="005944AD">
              <w:t xml:space="preserve"> </w:t>
            </w:r>
            <w:r w:rsidR="005944AD">
              <w:t>Smith, E.; Jones, F.; Johnson, D.</w:t>
            </w:r>
            <w:r w:rsidR="005944AD" w:rsidRPr="00CF5590">
              <w:t xml:space="preserve"> </w:t>
            </w:r>
            <w:r w:rsidRPr="00CF5590">
              <w:t>(2013). 'In-person meeting on above-code savings'</w:t>
            </w:r>
          </w:p>
        </w:tc>
      </w:tr>
      <w:tr w:rsidR="00AF5C08" w:rsidRPr="00393728" w14:paraId="04C5F408" w14:textId="77777777" w:rsidTr="00CF5590">
        <w:trPr>
          <w:trHeight w:val="555"/>
        </w:trPr>
        <w:tc>
          <w:tcPr>
            <w:tcW w:w="1278" w:type="dxa"/>
            <w:tcBorders>
              <w:top w:val="single" w:sz="4" w:space="0" w:color="92CDDC"/>
              <w:left w:val="single" w:sz="4" w:space="0" w:color="92CDDC"/>
              <w:bottom w:val="single" w:sz="4" w:space="0" w:color="92CDDC"/>
              <w:right w:val="nil"/>
            </w:tcBorders>
            <w:shd w:val="clear" w:color="000000" w:fill="FFFFFF"/>
            <w:vAlign w:val="center"/>
            <w:hideMark/>
          </w:tcPr>
          <w:p w14:paraId="507F2426" w14:textId="77777777" w:rsidR="00393728" w:rsidRPr="00CF5590" w:rsidRDefault="00393728" w:rsidP="00CF5590">
            <w:pPr>
              <w:pStyle w:val="Tabledata"/>
            </w:pPr>
            <w:r w:rsidRPr="00CF5590">
              <w:t>Planning a non-energy upgrade</w:t>
            </w:r>
          </w:p>
        </w:tc>
        <w:tc>
          <w:tcPr>
            <w:tcW w:w="1440"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389AB034" w14:textId="77777777" w:rsidR="00393728" w:rsidRPr="00CF5590" w:rsidRDefault="00393728" w:rsidP="00CF5590">
            <w:pPr>
              <w:pStyle w:val="Tabledata"/>
              <w:jc w:val="center"/>
            </w:pPr>
            <w:r w:rsidRPr="00CF5590">
              <w:t>100%</w:t>
            </w:r>
          </w:p>
        </w:tc>
        <w:tc>
          <w:tcPr>
            <w:tcW w:w="1096" w:type="dxa"/>
            <w:tcBorders>
              <w:top w:val="single" w:sz="4" w:space="0" w:color="7F7F7F"/>
              <w:left w:val="single" w:sz="4" w:space="0" w:color="7F7F7F"/>
              <w:bottom w:val="single" w:sz="4" w:space="0" w:color="7F7F7F"/>
              <w:right w:val="single" w:sz="4" w:space="0" w:color="7F7F7F"/>
            </w:tcBorders>
            <w:shd w:val="clear" w:color="000000" w:fill="F2F2F2"/>
            <w:noWrap/>
            <w:vAlign w:val="center"/>
            <w:hideMark/>
          </w:tcPr>
          <w:p w14:paraId="21669209" w14:textId="77777777" w:rsidR="00393728" w:rsidRPr="00CF5590" w:rsidRDefault="00393728" w:rsidP="00CF5590">
            <w:pPr>
              <w:pStyle w:val="Tabledata"/>
              <w:jc w:val="center"/>
            </w:pPr>
            <w:r w:rsidRPr="00CF5590">
              <w:t>0%</w:t>
            </w:r>
          </w:p>
        </w:tc>
        <w:tc>
          <w:tcPr>
            <w:tcW w:w="2504"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76FD2042" w14:textId="77777777" w:rsidR="00393728" w:rsidRPr="00CF5590" w:rsidRDefault="00393728" w:rsidP="00CF5590">
            <w:pPr>
              <w:pStyle w:val="Tabledata"/>
              <w:jc w:val="center"/>
            </w:pPr>
            <w:r w:rsidRPr="00CF5590">
              <w:t>20%</w:t>
            </w:r>
          </w:p>
        </w:tc>
        <w:tc>
          <w:tcPr>
            <w:tcW w:w="3546" w:type="dxa"/>
            <w:tcBorders>
              <w:top w:val="single" w:sz="4" w:space="0" w:color="92CDDC"/>
              <w:left w:val="nil"/>
              <w:bottom w:val="single" w:sz="4" w:space="0" w:color="92CDDC"/>
              <w:right w:val="single" w:sz="4" w:space="0" w:color="92CDDC"/>
            </w:tcBorders>
            <w:shd w:val="clear" w:color="000000" w:fill="FFDE75"/>
            <w:noWrap/>
            <w:vAlign w:val="center"/>
            <w:hideMark/>
          </w:tcPr>
          <w:p w14:paraId="67CB7EA2" w14:textId="5C4E7CC3" w:rsidR="00393728" w:rsidRPr="00CF5590" w:rsidRDefault="00393728" w:rsidP="00CF5590">
            <w:pPr>
              <w:pStyle w:val="Tabledata"/>
              <w:jc w:val="right"/>
            </w:pPr>
            <w:r w:rsidRPr="00CF5590">
              <w:t>(20)</w:t>
            </w:r>
            <w:r w:rsidR="005944AD">
              <w:t>Smith, E.; Jones, F.; Johnson, D.</w:t>
            </w:r>
            <w:r w:rsidRPr="00CF5590">
              <w:t xml:space="preserve"> (2013). 'In-person meeting on above-code savings'</w:t>
            </w:r>
          </w:p>
        </w:tc>
      </w:tr>
      <w:tr w:rsidR="00AF5C08" w:rsidRPr="00393728" w14:paraId="4585CECE" w14:textId="77777777" w:rsidTr="00CF5590">
        <w:trPr>
          <w:trHeight w:val="330"/>
        </w:trPr>
        <w:tc>
          <w:tcPr>
            <w:tcW w:w="1278" w:type="dxa"/>
            <w:tcBorders>
              <w:top w:val="single" w:sz="4" w:space="0" w:color="92CDDC"/>
              <w:left w:val="single" w:sz="4" w:space="0" w:color="92CDDC"/>
              <w:bottom w:val="single" w:sz="4" w:space="0" w:color="92CDDC"/>
              <w:right w:val="nil"/>
            </w:tcBorders>
            <w:shd w:val="clear" w:color="000000" w:fill="FFFFFF"/>
            <w:vAlign w:val="center"/>
            <w:hideMark/>
          </w:tcPr>
          <w:p w14:paraId="392F8EF4" w14:textId="77777777" w:rsidR="00393728" w:rsidRPr="00CF5590" w:rsidRDefault="00393728" w:rsidP="00CF5590">
            <w:pPr>
              <w:pStyle w:val="Tabledata"/>
            </w:pPr>
            <w:r w:rsidRPr="00CF5590">
              <w:t>Planned replacements</w:t>
            </w:r>
          </w:p>
        </w:tc>
        <w:tc>
          <w:tcPr>
            <w:tcW w:w="1440" w:type="dxa"/>
            <w:tcBorders>
              <w:top w:val="single" w:sz="4" w:space="0" w:color="7F7F7F"/>
              <w:left w:val="single" w:sz="4" w:space="0" w:color="7F7F7F"/>
              <w:bottom w:val="single" w:sz="4" w:space="0" w:color="7F7F7F"/>
              <w:right w:val="single" w:sz="4" w:space="0" w:color="7F7F7F"/>
            </w:tcBorders>
            <w:shd w:val="clear" w:color="000000" w:fill="F2F2F2"/>
            <w:noWrap/>
            <w:vAlign w:val="center"/>
            <w:hideMark/>
          </w:tcPr>
          <w:p w14:paraId="708BFB62" w14:textId="77777777" w:rsidR="00393728" w:rsidRPr="00CF5590" w:rsidRDefault="00393728" w:rsidP="00CF5590">
            <w:pPr>
              <w:pStyle w:val="Tabledata"/>
              <w:jc w:val="center"/>
            </w:pPr>
            <w:r w:rsidRPr="00CF5590">
              <w:t>76%</w:t>
            </w:r>
          </w:p>
        </w:tc>
        <w:tc>
          <w:tcPr>
            <w:tcW w:w="1096" w:type="dxa"/>
            <w:tcBorders>
              <w:top w:val="single" w:sz="4" w:space="0" w:color="7F7F7F"/>
              <w:left w:val="single" w:sz="4" w:space="0" w:color="7F7F7F"/>
              <w:bottom w:val="single" w:sz="4" w:space="0" w:color="7F7F7F"/>
              <w:right w:val="single" w:sz="4" w:space="0" w:color="7F7F7F"/>
            </w:tcBorders>
            <w:shd w:val="clear" w:color="000000" w:fill="F2F2F2"/>
            <w:noWrap/>
            <w:vAlign w:val="center"/>
            <w:hideMark/>
          </w:tcPr>
          <w:p w14:paraId="4537C926" w14:textId="77777777" w:rsidR="00393728" w:rsidRPr="00CF5590" w:rsidRDefault="00393728" w:rsidP="00CF5590">
            <w:pPr>
              <w:pStyle w:val="Tabledata"/>
              <w:jc w:val="center"/>
            </w:pPr>
            <w:r w:rsidRPr="00CF5590">
              <w:t>24%</w:t>
            </w:r>
          </w:p>
        </w:tc>
        <w:tc>
          <w:tcPr>
            <w:tcW w:w="2504"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082C9C09" w14:textId="77777777" w:rsidR="00393728" w:rsidRPr="00CF5590" w:rsidRDefault="00393728" w:rsidP="00CF5590">
            <w:pPr>
              <w:pStyle w:val="Tabledata"/>
              <w:jc w:val="center"/>
            </w:pPr>
            <w:r w:rsidRPr="00CF5590">
              <w:t>30%</w:t>
            </w:r>
          </w:p>
        </w:tc>
        <w:tc>
          <w:tcPr>
            <w:tcW w:w="3546" w:type="dxa"/>
            <w:tcBorders>
              <w:top w:val="single" w:sz="4" w:space="0" w:color="92CDDC"/>
              <w:left w:val="nil"/>
              <w:bottom w:val="single" w:sz="4" w:space="0" w:color="92CDDC"/>
              <w:right w:val="single" w:sz="4" w:space="0" w:color="92CDDC"/>
            </w:tcBorders>
            <w:shd w:val="clear" w:color="000000" w:fill="FFDE75"/>
            <w:noWrap/>
            <w:vAlign w:val="center"/>
            <w:hideMark/>
          </w:tcPr>
          <w:p w14:paraId="326AC7F5" w14:textId="27ED8362" w:rsidR="00393728" w:rsidRPr="00CF5590" w:rsidRDefault="00393728" w:rsidP="00CF5590">
            <w:pPr>
              <w:pStyle w:val="Tabledata"/>
              <w:jc w:val="right"/>
            </w:pPr>
            <w:r w:rsidRPr="00CF5590">
              <w:t>(20)</w:t>
            </w:r>
            <w:r w:rsidR="005944AD">
              <w:t>Smith, E.; Jones, F.; Johnson, D.</w:t>
            </w:r>
            <w:r w:rsidRPr="00CF5590">
              <w:t xml:space="preserve"> (2013). 'In-person meeting on above-code savings'</w:t>
            </w:r>
          </w:p>
        </w:tc>
      </w:tr>
    </w:tbl>
    <w:p w14:paraId="22A3D9BD" w14:textId="48F557BE" w:rsidR="00676D3C" w:rsidRDefault="00AF5C08" w:rsidP="00103CE3">
      <w:r>
        <w:t xml:space="preserve">The planned replacements portion of this is a derivation of the table created by the awareness of building energy systems </w:t>
      </w:r>
      <w:r w:rsidR="00210703">
        <w:t>discussion</w:t>
      </w:r>
      <w:r>
        <w:t xml:space="preserve"> below.</w:t>
      </w:r>
    </w:p>
    <w:p w14:paraId="6EDDAAFB" w14:textId="40C10671" w:rsidR="00210703" w:rsidRDefault="00210703" w:rsidP="00103CE3">
      <w:r>
        <w:t>In summary, with my planning judgment, this figure changes to the following table:</w:t>
      </w:r>
    </w:p>
    <w:tbl>
      <w:tblPr>
        <w:tblW w:w="0" w:type="auto"/>
        <w:tblLayout w:type="fixed"/>
        <w:tblLook w:val="04A0" w:firstRow="1" w:lastRow="0" w:firstColumn="1" w:lastColumn="0" w:noHBand="0" w:noVBand="1"/>
      </w:tblPr>
      <w:tblGrid>
        <w:gridCol w:w="1278"/>
        <w:gridCol w:w="1440"/>
        <w:gridCol w:w="1096"/>
        <w:gridCol w:w="2504"/>
        <w:gridCol w:w="3546"/>
      </w:tblGrid>
      <w:tr w:rsidR="00210703" w:rsidRPr="00393728" w14:paraId="5B8FBE8F" w14:textId="77777777" w:rsidTr="0034561C">
        <w:trPr>
          <w:trHeight w:val="330"/>
        </w:trPr>
        <w:tc>
          <w:tcPr>
            <w:tcW w:w="1278" w:type="dxa"/>
            <w:tcBorders>
              <w:top w:val="single" w:sz="12" w:space="0" w:color="A7BFDE"/>
              <w:left w:val="single" w:sz="4" w:space="0" w:color="92CDDC"/>
              <w:bottom w:val="single" w:sz="4" w:space="0" w:color="92CDDC"/>
              <w:right w:val="nil"/>
            </w:tcBorders>
            <w:shd w:val="clear" w:color="4BACC6" w:fill="4BACC6"/>
            <w:noWrap/>
            <w:vAlign w:val="bottom"/>
            <w:hideMark/>
          </w:tcPr>
          <w:p w14:paraId="1B157973" w14:textId="77777777" w:rsidR="00210703" w:rsidRPr="00CF5590" w:rsidRDefault="00210703" w:rsidP="0034561C">
            <w:pPr>
              <w:pStyle w:val="Tabledata"/>
            </w:pPr>
            <w:r w:rsidRPr="00CF5590">
              <w:lastRenderedPageBreak/>
              <w:t>Category</w:t>
            </w:r>
          </w:p>
        </w:tc>
        <w:tc>
          <w:tcPr>
            <w:tcW w:w="1440" w:type="dxa"/>
            <w:tcBorders>
              <w:top w:val="single" w:sz="12" w:space="0" w:color="A7BFDE"/>
              <w:left w:val="nil"/>
              <w:bottom w:val="single" w:sz="4" w:space="0" w:color="92CDDC"/>
              <w:right w:val="nil"/>
            </w:tcBorders>
            <w:shd w:val="clear" w:color="4BACC6" w:fill="4BACC6"/>
            <w:noWrap/>
            <w:vAlign w:val="bottom"/>
            <w:hideMark/>
          </w:tcPr>
          <w:p w14:paraId="21E0E53B" w14:textId="77777777" w:rsidR="00210703" w:rsidRPr="00CF5590" w:rsidRDefault="00210703" w:rsidP="0034561C">
            <w:pPr>
              <w:pStyle w:val="Tabledata"/>
            </w:pPr>
            <w:r w:rsidRPr="00CF5590">
              <w:t>% of savings booked to EBR</w:t>
            </w:r>
          </w:p>
        </w:tc>
        <w:tc>
          <w:tcPr>
            <w:tcW w:w="1096" w:type="dxa"/>
            <w:tcBorders>
              <w:top w:val="single" w:sz="12" w:space="0" w:color="A7BFDE"/>
              <w:left w:val="nil"/>
              <w:bottom w:val="single" w:sz="4" w:space="0" w:color="92CDDC"/>
              <w:right w:val="nil"/>
            </w:tcBorders>
            <w:shd w:val="clear" w:color="4BACC6" w:fill="4BACC6"/>
            <w:noWrap/>
            <w:vAlign w:val="bottom"/>
            <w:hideMark/>
          </w:tcPr>
          <w:p w14:paraId="4BC6C19A" w14:textId="77777777" w:rsidR="00210703" w:rsidRPr="00CF5590" w:rsidRDefault="00210703" w:rsidP="0034561C">
            <w:pPr>
              <w:pStyle w:val="Tabledata"/>
            </w:pPr>
            <w:r w:rsidRPr="00CF5590">
              <w:t>% that overlaps with code</w:t>
            </w:r>
          </w:p>
        </w:tc>
        <w:tc>
          <w:tcPr>
            <w:tcW w:w="2504" w:type="dxa"/>
            <w:tcBorders>
              <w:top w:val="single" w:sz="12" w:space="0" w:color="A7BFDE"/>
              <w:left w:val="nil"/>
              <w:bottom w:val="single" w:sz="4" w:space="0" w:color="92CDDC"/>
              <w:right w:val="nil"/>
            </w:tcBorders>
            <w:shd w:val="clear" w:color="4BACC6" w:fill="4BACC6"/>
            <w:noWrap/>
            <w:vAlign w:val="bottom"/>
            <w:hideMark/>
          </w:tcPr>
          <w:p w14:paraId="22FE217D" w14:textId="77777777" w:rsidR="00210703" w:rsidRPr="00CF5590" w:rsidRDefault="00210703" w:rsidP="0034561C">
            <w:pPr>
              <w:pStyle w:val="Tabledata"/>
            </w:pPr>
            <w:r w:rsidRPr="00CF5590">
              <w:t>% of population in category</w:t>
            </w:r>
          </w:p>
        </w:tc>
        <w:tc>
          <w:tcPr>
            <w:tcW w:w="3546" w:type="dxa"/>
            <w:tcBorders>
              <w:top w:val="single" w:sz="12" w:space="0" w:color="A7BFDE"/>
              <w:left w:val="single" w:sz="4" w:space="0" w:color="auto"/>
              <w:bottom w:val="single" w:sz="4" w:space="0" w:color="auto"/>
              <w:right w:val="single" w:sz="4" w:space="0" w:color="92CDDC"/>
            </w:tcBorders>
            <w:shd w:val="clear" w:color="4BACC6" w:fill="4BACC6"/>
            <w:noWrap/>
            <w:vAlign w:val="bottom"/>
            <w:hideMark/>
          </w:tcPr>
          <w:p w14:paraId="0A578B82" w14:textId="77777777" w:rsidR="00210703" w:rsidRPr="00CF5590" w:rsidRDefault="00210703" w:rsidP="0034561C">
            <w:pPr>
              <w:pStyle w:val="Tabledata"/>
            </w:pPr>
            <w:r w:rsidRPr="00CF5590">
              <w:t>Source</w:t>
            </w:r>
          </w:p>
        </w:tc>
      </w:tr>
      <w:tr w:rsidR="00210703" w:rsidRPr="00393728" w14:paraId="35BE21A7" w14:textId="77777777" w:rsidTr="0034561C">
        <w:trPr>
          <w:trHeight w:val="810"/>
        </w:trPr>
        <w:tc>
          <w:tcPr>
            <w:tcW w:w="1278" w:type="dxa"/>
            <w:tcBorders>
              <w:top w:val="single" w:sz="4" w:space="0" w:color="92CDDC"/>
              <w:left w:val="single" w:sz="4" w:space="0" w:color="92CDDC"/>
              <w:bottom w:val="single" w:sz="4" w:space="0" w:color="92CDDC"/>
              <w:right w:val="nil"/>
            </w:tcBorders>
            <w:shd w:val="clear" w:color="000000" w:fill="FFFFFF"/>
            <w:vAlign w:val="center"/>
            <w:hideMark/>
          </w:tcPr>
          <w:p w14:paraId="348E66F7" w14:textId="77777777" w:rsidR="00210703" w:rsidRPr="00CF5590" w:rsidRDefault="00210703" w:rsidP="0034561C">
            <w:pPr>
              <w:pStyle w:val="Tabledata"/>
            </w:pPr>
            <w:r w:rsidRPr="00CF5590">
              <w:t>Participants who would never have done EBR</w:t>
            </w:r>
          </w:p>
        </w:tc>
        <w:tc>
          <w:tcPr>
            <w:tcW w:w="1440"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5610E49A" w14:textId="77777777" w:rsidR="00210703" w:rsidRPr="00CF5590" w:rsidRDefault="00210703" w:rsidP="0034561C">
            <w:pPr>
              <w:pStyle w:val="Tabledata"/>
              <w:jc w:val="center"/>
            </w:pPr>
            <w:r w:rsidRPr="00CF5590">
              <w:t>100%</w:t>
            </w:r>
          </w:p>
        </w:tc>
        <w:tc>
          <w:tcPr>
            <w:tcW w:w="1096" w:type="dxa"/>
            <w:tcBorders>
              <w:top w:val="single" w:sz="4" w:space="0" w:color="7F7F7F"/>
              <w:left w:val="single" w:sz="4" w:space="0" w:color="7F7F7F"/>
              <w:bottom w:val="single" w:sz="4" w:space="0" w:color="7F7F7F"/>
              <w:right w:val="single" w:sz="4" w:space="0" w:color="7F7F7F"/>
            </w:tcBorders>
            <w:shd w:val="clear" w:color="000000" w:fill="F2F2F2"/>
            <w:noWrap/>
            <w:vAlign w:val="center"/>
            <w:hideMark/>
          </w:tcPr>
          <w:p w14:paraId="611EBDBD" w14:textId="77777777" w:rsidR="00210703" w:rsidRPr="00CF5590" w:rsidRDefault="00210703" w:rsidP="0034561C">
            <w:pPr>
              <w:pStyle w:val="Tabledata"/>
              <w:jc w:val="center"/>
            </w:pPr>
            <w:r w:rsidRPr="00CF5590">
              <w:t>0%</w:t>
            </w:r>
          </w:p>
        </w:tc>
        <w:tc>
          <w:tcPr>
            <w:tcW w:w="2504"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7361D4AC" w14:textId="77777777" w:rsidR="00210703" w:rsidRPr="00CF5590" w:rsidRDefault="00210703" w:rsidP="0034561C">
            <w:pPr>
              <w:pStyle w:val="Tabledata"/>
              <w:jc w:val="center"/>
            </w:pPr>
            <w:r w:rsidRPr="00CF5590">
              <w:t>50%</w:t>
            </w:r>
          </w:p>
        </w:tc>
        <w:tc>
          <w:tcPr>
            <w:tcW w:w="3546" w:type="dxa"/>
            <w:tcBorders>
              <w:top w:val="single" w:sz="4" w:space="0" w:color="92CDDC"/>
              <w:left w:val="nil"/>
              <w:bottom w:val="single" w:sz="4" w:space="0" w:color="92CDDC"/>
              <w:right w:val="single" w:sz="4" w:space="0" w:color="92CDDC"/>
            </w:tcBorders>
            <w:shd w:val="clear" w:color="000000" w:fill="FFDE75"/>
            <w:noWrap/>
            <w:vAlign w:val="center"/>
            <w:hideMark/>
          </w:tcPr>
          <w:p w14:paraId="0B28C299" w14:textId="7942F0C1" w:rsidR="00210703" w:rsidRPr="00CF5590" w:rsidRDefault="00210703" w:rsidP="0034561C">
            <w:pPr>
              <w:pStyle w:val="Tabledata"/>
              <w:jc w:val="right"/>
            </w:pPr>
            <w:r w:rsidRPr="00CF5590">
              <w:t>(20)</w:t>
            </w:r>
            <w:r w:rsidR="005944AD">
              <w:t>Smith, E.; Jones, F.; Johnson, D.</w:t>
            </w:r>
            <w:r w:rsidRPr="00CF5590">
              <w:t xml:space="preserve"> (2013). 'In-person meeting on above-code savings'</w:t>
            </w:r>
          </w:p>
        </w:tc>
      </w:tr>
      <w:tr w:rsidR="00210703" w:rsidRPr="00393728" w14:paraId="334CEA4E" w14:textId="77777777" w:rsidTr="0034561C">
        <w:trPr>
          <w:trHeight w:val="555"/>
        </w:trPr>
        <w:tc>
          <w:tcPr>
            <w:tcW w:w="1278" w:type="dxa"/>
            <w:tcBorders>
              <w:top w:val="single" w:sz="4" w:space="0" w:color="92CDDC"/>
              <w:left w:val="single" w:sz="4" w:space="0" w:color="92CDDC"/>
              <w:bottom w:val="single" w:sz="4" w:space="0" w:color="92CDDC"/>
              <w:right w:val="nil"/>
            </w:tcBorders>
            <w:shd w:val="clear" w:color="000000" w:fill="FFFFFF"/>
            <w:vAlign w:val="center"/>
            <w:hideMark/>
          </w:tcPr>
          <w:p w14:paraId="5A1DD4BD" w14:textId="77777777" w:rsidR="00210703" w:rsidRPr="00CF5590" w:rsidRDefault="00210703" w:rsidP="0034561C">
            <w:pPr>
              <w:pStyle w:val="Tabledata"/>
            </w:pPr>
            <w:r w:rsidRPr="00CF5590">
              <w:t>Planning a non-energy upgrade</w:t>
            </w:r>
          </w:p>
        </w:tc>
        <w:tc>
          <w:tcPr>
            <w:tcW w:w="1440"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45774508" w14:textId="77777777" w:rsidR="00210703" w:rsidRPr="00CF5590" w:rsidRDefault="00210703" w:rsidP="0034561C">
            <w:pPr>
              <w:pStyle w:val="Tabledata"/>
              <w:jc w:val="center"/>
            </w:pPr>
            <w:r w:rsidRPr="00CF5590">
              <w:t>100%</w:t>
            </w:r>
          </w:p>
        </w:tc>
        <w:tc>
          <w:tcPr>
            <w:tcW w:w="1096" w:type="dxa"/>
            <w:tcBorders>
              <w:top w:val="single" w:sz="4" w:space="0" w:color="7F7F7F"/>
              <w:left w:val="single" w:sz="4" w:space="0" w:color="7F7F7F"/>
              <w:bottom w:val="single" w:sz="4" w:space="0" w:color="7F7F7F"/>
              <w:right w:val="single" w:sz="4" w:space="0" w:color="7F7F7F"/>
            </w:tcBorders>
            <w:shd w:val="clear" w:color="000000" w:fill="F2F2F2"/>
            <w:noWrap/>
            <w:vAlign w:val="center"/>
            <w:hideMark/>
          </w:tcPr>
          <w:p w14:paraId="0BA00CBD" w14:textId="77777777" w:rsidR="00210703" w:rsidRPr="00CF5590" w:rsidRDefault="00210703" w:rsidP="0034561C">
            <w:pPr>
              <w:pStyle w:val="Tabledata"/>
              <w:jc w:val="center"/>
            </w:pPr>
            <w:r w:rsidRPr="00CF5590">
              <w:t>0%</w:t>
            </w:r>
          </w:p>
        </w:tc>
        <w:tc>
          <w:tcPr>
            <w:tcW w:w="2504"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1615776B" w14:textId="77777777" w:rsidR="00210703" w:rsidRPr="00CF5590" w:rsidRDefault="00210703" w:rsidP="0034561C">
            <w:pPr>
              <w:pStyle w:val="Tabledata"/>
              <w:jc w:val="center"/>
            </w:pPr>
            <w:r w:rsidRPr="00CF5590">
              <w:t>20%</w:t>
            </w:r>
          </w:p>
        </w:tc>
        <w:tc>
          <w:tcPr>
            <w:tcW w:w="3546" w:type="dxa"/>
            <w:tcBorders>
              <w:top w:val="single" w:sz="4" w:space="0" w:color="92CDDC"/>
              <w:left w:val="nil"/>
              <w:bottom w:val="single" w:sz="4" w:space="0" w:color="92CDDC"/>
              <w:right w:val="single" w:sz="4" w:space="0" w:color="92CDDC"/>
            </w:tcBorders>
            <w:shd w:val="clear" w:color="000000" w:fill="FFDE75"/>
            <w:noWrap/>
            <w:vAlign w:val="center"/>
            <w:hideMark/>
          </w:tcPr>
          <w:p w14:paraId="509305A8" w14:textId="64E04CBD" w:rsidR="00210703" w:rsidRPr="00CF5590" w:rsidRDefault="00210703" w:rsidP="0034561C">
            <w:pPr>
              <w:pStyle w:val="Tabledata"/>
              <w:jc w:val="right"/>
            </w:pPr>
            <w:r w:rsidRPr="00CF5590">
              <w:t>(20)</w:t>
            </w:r>
            <w:r w:rsidR="005944AD">
              <w:t>Smith, E.; Jones, F.; Johnson, D.</w:t>
            </w:r>
            <w:r w:rsidRPr="00CF5590">
              <w:t xml:space="preserve"> (2013). 'In-person meeting on above-code savings'</w:t>
            </w:r>
          </w:p>
        </w:tc>
      </w:tr>
      <w:tr w:rsidR="00210703" w:rsidRPr="00393728" w14:paraId="3E87D2E4" w14:textId="77777777" w:rsidTr="0034561C">
        <w:trPr>
          <w:trHeight w:val="330"/>
        </w:trPr>
        <w:tc>
          <w:tcPr>
            <w:tcW w:w="1278" w:type="dxa"/>
            <w:tcBorders>
              <w:top w:val="single" w:sz="4" w:space="0" w:color="92CDDC"/>
              <w:left w:val="single" w:sz="4" w:space="0" w:color="92CDDC"/>
              <w:bottom w:val="single" w:sz="4" w:space="0" w:color="92CDDC"/>
              <w:right w:val="nil"/>
            </w:tcBorders>
            <w:shd w:val="clear" w:color="000000" w:fill="FFFFFF"/>
            <w:vAlign w:val="center"/>
            <w:hideMark/>
          </w:tcPr>
          <w:p w14:paraId="28C577DF" w14:textId="77777777" w:rsidR="00210703" w:rsidRPr="00CF5590" w:rsidRDefault="00210703" w:rsidP="0034561C">
            <w:pPr>
              <w:pStyle w:val="Tabledata"/>
            </w:pPr>
            <w:r w:rsidRPr="00CF5590">
              <w:t>Planned replacements</w:t>
            </w:r>
          </w:p>
        </w:tc>
        <w:tc>
          <w:tcPr>
            <w:tcW w:w="1440" w:type="dxa"/>
            <w:tcBorders>
              <w:top w:val="single" w:sz="4" w:space="0" w:color="7F7F7F"/>
              <w:left w:val="single" w:sz="4" w:space="0" w:color="7F7F7F"/>
              <w:bottom w:val="single" w:sz="4" w:space="0" w:color="7F7F7F"/>
              <w:right w:val="single" w:sz="4" w:space="0" w:color="7F7F7F"/>
            </w:tcBorders>
            <w:shd w:val="clear" w:color="000000" w:fill="F2F2F2"/>
            <w:noWrap/>
            <w:vAlign w:val="center"/>
            <w:hideMark/>
          </w:tcPr>
          <w:p w14:paraId="3A946F11" w14:textId="77777777" w:rsidR="00210703" w:rsidRPr="00CF5590" w:rsidRDefault="00210703" w:rsidP="0034561C">
            <w:pPr>
              <w:pStyle w:val="Tabledata"/>
              <w:jc w:val="center"/>
            </w:pPr>
            <w:r>
              <w:t>49</w:t>
            </w:r>
            <w:r w:rsidRPr="00CF5590">
              <w:t>%</w:t>
            </w:r>
          </w:p>
        </w:tc>
        <w:tc>
          <w:tcPr>
            <w:tcW w:w="1096" w:type="dxa"/>
            <w:tcBorders>
              <w:top w:val="single" w:sz="4" w:space="0" w:color="7F7F7F"/>
              <w:left w:val="single" w:sz="4" w:space="0" w:color="7F7F7F"/>
              <w:bottom w:val="single" w:sz="4" w:space="0" w:color="7F7F7F"/>
              <w:right w:val="single" w:sz="4" w:space="0" w:color="7F7F7F"/>
            </w:tcBorders>
            <w:shd w:val="clear" w:color="000000" w:fill="F2F2F2"/>
            <w:noWrap/>
            <w:vAlign w:val="center"/>
            <w:hideMark/>
          </w:tcPr>
          <w:p w14:paraId="6B75BCD5" w14:textId="77777777" w:rsidR="00210703" w:rsidRPr="00CF5590" w:rsidRDefault="00210703" w:rsidP="0034561C">
            <w:pPr>
              <w:pStyle w:val="Tabledata"/>
              <w:jc w:val="center"/>
            </w:pPr>
            <w:r>
              <w:t>51%</w:t>
            </w:r>
          </w:p>
        </w:tc>
        <w:tc>
          <w:tcPr>
            <w:tcW w:w="2504" w:type="dxa"/>
            <w:tcBorders>
              <w:top w:val="double" w:sz="6" w:space="0" w:color="FF0000"/>
              <w:left w:val="double" w:sz="6" w:space="0" w:color="FF0000"/>
              <w:bottom w:val="double" w:sz="6" w:space="0" w:color="FF0000"/>
              <w:right w:val="double" w:sz="6" w:space="0" w:color="FF0000"/>
            </w:tcBorders>
            <w:shd w:val="clear" w:color="000000" w:fill="FFFFB4"/>
            <w:noWrap/>
            <w:vAlign w:val="center"/>
            <w:hideMark/>
          </w:tcPr>
          <w:p w14:paraId="1EDA3988" w14:textId="77777777" w:rsidR="00210703" w:rsidRPr="00CF5590" w:rsidRDefault="00210703" w:rsidP="0034561C">
            <w:pPr>
              <w:pStyle w:val="Tabledata"/>
              <w:jc w:val="center"/>
            </w:pPr>
            <w:r w:rsidRPr="00CF5590">
              <w:t>30%</w:t>
            </w:r>
          </w:p>
        </w:tc>
        <w:tc>
          <w:tcPr>
            <w:tcW w:w="3546" w:type="dxa"/>
            <w:tcBorders>
              <w:top w:val="single" w:sz="4" w:space="0" w:color="92CDDC"/>
              <w:left w:val="nil"/>
              <w:bottom w:val="single" w:sz="4" w:space="0" w:color="92CDDC"/>
              <w:right w:val="single" w:sz="4" w:space="0" w:color="92CDDC"/>
            </w:tcBorders>
            <w:shd w:val="clear" w:color="000000" w:fill="FFDE75"/>
            <w:noWrap/>
            <w:vAlign w:val="center"/>
            <w:hideMark/>
          </w:tcPr>
          <w:p w14:paraId="34DDDD84" w14:textId="7BB248AB" w:rsidR="00210703" w:rsidRPr="00CF5590" w:rsidRDefault="00210703" w:rsidP="00210703">
            <w:pPr>
              <w:pStyle w:val="Tabledata"/>
              <w:jc w:val="right"/>
            </w:pPr>
            <w:r w:rsidRPr="00210703">
              <w:t>(21)NEEA (2013). 'Planning judgment'</w:t>
            </w:r>
          </w:p>
        </w:tc>
      </w:tr>
    </w:tbl>
    <w:p w14:paraId="2F1E842A" w14:textId="77777777" w:rsidR="00210703" w:rsidRPr="00103CE3" w:rsidRDefault="00210703" w:rsidP="00103CE3"/>
    <w:p w14:paraId="14308C74" w14:textId="77777777" w:rsidR="00103CE3" w:rsidRDefault="00103CE3" w:rsidP="00BC027C">
      <w:pPr>
        <w:pStyle w:val="Heading3"/>
      </w:pPr>
      <w:r>
        <w:t>Awareness of building energy systems</w:t>
      </w:r>
    </w:p>
    <w:p w14:paraId="25890087" w14:textId="3BB0F4A4" w:rsidR="00103CE3" w:rsidRDefault="00AF5C08" w:rsidP="00103CE3">
      <w:r>
        <w:t xml:space="preserve">In the ACE model, I break out the four basic building energy systems into separate categories of HVAC, envelope, lighting, and plug load.  In all four states, major renovations to these systems trip code.  In practice, building owners will purposefully avoid “major” renovations to avoid tripping code.  Additionally, code is only as effective in changing behaviors as it is enforced.  The EBR team (and </w:t>
      </w:r>
      <w:r w:rsidR="005944AD">
        <w:t>codes manager</w:t>
      </w:r>
      <w:r>
        <w:t xml:space="preserve">) all found that this has a meaningful impact on the code interactivities for this </w:t>
      </w:r>
      <w:r w:rsidR="00CF5590">
        <w:t>initiative</w:t>
      </w:r>
      <w:r>
        <w:t>.</w:t>
      </w:r>
    </w:p>
    <w:p w14:paraId="7AD2DC39" w14:textId="0FF0775A" w:rsidR="00F8767E" w:rsidRDefault="00CF5590" w:rsidP="00CF5590">
      <w:pPr>
        <w:pStyle w:val="Heading4"/>
      </w:pPr>
      <w:r>
        <w:t>HVAC Systems</w:t>
      </w:r>
    </w:p>
    <w:p w14:paraId="646F315F" w14:textId="77777777" w:rsidR="00CF5590" w:rsidRDefault="00AF5C08" w:rsidP="00103CE3">
      <w:r>
        <w:t>Most of the team fully recognized that HVAC systems are usually the triggering event in engaging building owners and operators into the EBR program.  From a baseline perspective, they estimated that 60% of the HVAC work would have happened without EBR involvement</w:t>
      </w:r>
      <w:r w:rsidR="00CF5590">
        <w:t xml:space="preserve"> and would have been susceptible to code</w:t>
      </w:r>
      <w:r>
        <w:t>.</w:t>
      </w:r>
      <w:r w:rsidR="00CF5590">
        <w:t xml:space="preserve"> The logic here is that ducting and many of the other components of HVAC work (especially from a dollar-value standpoint, which is where some of these estimates come from) are not impacted by code.</w:t>
      </w:r>
    </w:p>
    <w:p w14:paraId="73300AC4" w14:textId="757A35A3" w:rsidR="00397B10" w:rsidRDefault="00397B10" w:rsidP="00397B10">
      <w:pPr>
        <w:pStyle w:val="Heading5"/>
      </w:pPr>
      <w:r>
        <w:t>Planner’s response</w:t>
      </w:r>
    </w:p>
    <w:p w14:paraId="1BE32E76" w14:textId="350FC3B3" w:rsidR="00397B10" w:rsidRDefault="00397B10" w:rsidP="00397B10">
      <w:r>
        <w:t xml:space="preserve">To set context, </w:t>
      </w:r>
      <w:r w:rsidR="005944AD">
        <w:t>the director of planning and evaluation</w:t>
      </w:r>
      <w:r>
        <w:t xml:space="preserve"> and I had met with respect to this issue and she gave me clear guidance that the defensibility of these numbers needs to be at the level </w:t>
      </w:r>
      <w:r w:rsidR="00046033">
        <w:t>a</w:t>
      </w:r>
      <w:r>
        <w:t xml:space="preserve"> planner at NEEA could stand up in front of the cost-effectiveness advisory committee and present these figures.</w:t>
      </w:r>
    </w:p>
    <w:p w14:paraId="6C5451C7" w14:textId="670C1F24" w:rsidR="00397B10" w:rsidRDefault="00397B10" w:rsidP="00397B10">
      <w:r>
        <w:t xml:space="preserve">Given that context and to err on the side of conservatism, I chose a figure of </w:t>
      </w:r>
      <w:r w:rsidRPr="00972172">
        <w:rPr>
          <w:b/>
        </w:rPr>
        <w:t>80%</w:t>
      </w:r>
      <w:r w:rsidR="00972172" w:rsidRPr="00972172">
        <w:rPr>
          <w:b/>
        </w:rPr>
        <w:t xml:space="preserve"> code interactivity</w:t>
      </w:r>
      <w:r>
        <w:t>. It seems to me that this is the proverbial carrot that piques the interest of owners and that codes and standards have a major impact on the HVAC equipment being retrofitted in any building.  The 20% remainder alludes to the prominent/normal behavior of building owners and operators simply avoiding retrofit and preferring the so-</w:t>
      </w:r>
      <w:r>
        <w:lastRenderedPageBreak/>
        <w:t>called “duct-tape method,” whereby they continue to make minor repairs to the equipment instead of retrofitting it completely.</w:t>
      </w:r>
    </w:p>
    <w:p w14:paraId="33633E6E" w14:textId="35E3B487" w:rsidR="00397B10" w:rsidRPr="00397B10" w:rsidRDefault="00397B10" w:rsidP="00397B10">
      <w:r>
        <w:t>Additional logic here involves the notion that the better the building’s mechanical systems, the more valuable the building becomes.  That is a core strategy of EBR, and that is something I find reasonable and acceptable.</w:t>
      </w:r>
    </w:p>
    <w:p w14:paraId="7ABB44D9" w14:textId="77777777" w:rsidR="00CF5590" w:rsidRDefault="00CF5590" w:rsidP="00CF5590">
      <w:pPr>
        <w:pStyle w:val="Heading4"/>
      </w:pPr>
      <w:r>
        <w:t>Envelope</w:t>
      </w:r>
    </w:p>
    <w:p w14:paraId="5DED9CC9" w14:textId="6243E9FC" w:rsidR="00AF5C08" w:rsidRDefault="00CF5590" w:rsidP="00CF5590">
      <w:r>
        <w:t>The team was clearly in alignment that envelope issues tend to be the last issues addressed.  Envelope issues, such as gaps and glazing (window) issues are a low priority in the scope of building operators’ work and tend to be very expensive to mitigate.  For this reason, the team estimated that there was no overlap with code because EBR would be the sole reason for the building retrofit teams to do this sort of work.</w:t>
      </w:r>
    </w:p>
    <w:p w14:paraId="7B918132" w14:textId="0B0E290D" w:rsidR="00397B10" w:rsidRDefault="00397B10" w:rsidP="00397B10">
      <w:pPr>
        <w:pStyle w:val="Heading5"/>
      </w:pPr>
      <w:r>
        <w:t>Planner’s response</w:t>
      </w:r>
    </w:p>
    <w:p w14:paraId="14FEB90F" w14:textId="2D5119A0" w:rsidR="00397B10" w:rsidRDefault="00397B10" w:rsidP="00397B10">
      <w:r>
        <w:t>The logic of envelope issues holds for me, but I do think that in extreme cases, some building owners and operators would go to the extreme of replacing some envelope components.  Additionally, I find that windows are susceptible to standards in the marketplace.  The 100%-to-EBR logic only makes sense if windows are never replaced in commercial buildings, a practice I don’t believe to be reasonable.</w:t>
      </w:r>
      <w:r w:rsidR="00176A65">
        <w:t xml:space="preserve">  Additionally, I believe that some building owners see glazing as an opportunity to “spice up” their building: new windows are external and highly visible.  If someone has a 20–50 year old building, they know that double-glazed windows are going to make their building look better and be greener.</w:t>
      </w:r>
    </w:p>
    <w:p w14:paraId="55784F71" w14:textId="54FD8B77" w:rsidR="00397B10" w:rsidRPr="00397B10" w:rsidRDefault="00397B10" w:rsidP="00397B10">
      <w:r>
        <w:t xml:space="preserve">I chose a value of </w:t>
      </w:r>
      <w:r w:rsidR="00972172" w:rsidRPr="006E2D68">
        <w:rPr>
          <w:b/>
        </w:rPr>
        <w:t>25</w:t>
      </w:r>
      <w:r w:rsidRPr="006E2D68">
        <w:rPr>
          <w:b/>
        </w:rPr>
        <w:t>% code-interactivity</w:t>
      </w:r>
      <w:r>
        <w:t xml:space="preserve"> due to this analysis.</w:t>
      </w:r>
      <w:r w:rsidR="00972172">
        <w:t xml:space="preserve"> It seems reasonable to me that 75% of retrofit projects will not include envelope retrofits and that some of those projects would be avoided due to a building owner’s unwillingness to trip code—and therefore additional expense.</w:t>
      </w:r>
    </w:p>
    <w:p w14:paraId="720B63C1" w14:textId="037A3F8F" w:rsidR="00CF5590" w:rsidRDefault="00CF5590" w:rsidP="00CF5590">
      <w:pPr>
        <w:pStyle w:val="Heading4"/>
      </w:pPr>
      <w:r>
        <w:t>Lighting systems</w:t>
      </w:r>
    </w:p>
    <w:p w14:paraId="39FEEA96" w14:textId="6138EDCC" w:rsidR="00CF5590" w:rsidRDefault="00CF5590" w:rsidP="00CF5590">
      <w:r>
        <w:t xml:space="preserve">Lighting is a fairly controversial issue for a few reasons.  Many of the codes read with the ‘major renovation’ clause </w:t>
      </w:r>
      <w:r w:rsidR="00076BD7">
        <w:t>which</w:t>
      </w:r>
      <w:r>
        <w:t xml:space="preserve"> tend</w:t>
      </w:r>
      <w:r w:rsidR="00076BD7">
        <w:t>s</w:t>
      </w:r>
      <w:r>
        <w:t xml:space="preserve"> to mean </w:t>
      </w:r>
      <w:r w:rsidR="00076BD7">
        <w:t>more</w:t>
      </w:r>
      <w:r>
        <w:t xml:space="preserve"> than 50% of the space being altered</w:t>
      </w:r>
      <w:r w:rsidR="00076BD7">
        <w:t xml:space="preserve"> would trip code.  </w:t>
      </w:r>
      <w:r w:rsidR="00176A65">
        <w:t>However, h</w:t>
      </w:r>
      <w:r w:rsidR="00076BD7">
        <w:t>ow one measures the space being altered is ambiguous and regularly avoided by building owners.  On top of that, the EBR team has recognized that lighting tends to be the last component in the EBR retrofits that happens or more closely maps to tenant movements.  Because of this, they gave EBR full “credit” for inciting the retrofits and deem the retrofits unlikely to trip code.</w:t>
      </w:r>
    </w:p>
    <w:p w14:paraId="627D1D7E" w14:textId="10B368C1" w:rsidR="00176A65" w:rsidRDefault="00176A65" w:rsidP="00176A65">
      <w:pPr>
        <w:pStyle w:val="Heading5"/>
      </w:pPr>
      <w:r>
        <w:t>Planner’s response</w:t>
      </w:r>
    </w:p>
    <w:p w14:paraId="671AF845" w14:textId="4410755D" w:rsidR="00176A65" w:rsidRDefault="00176A65" w:rsidP="00176A65">
      <w:r>
        <w:t xml:space="preserve">I feel that lighting is becoming a more visible and “sexy” retrofit.  With the advent of LEDs in the marketplace and the EISA legislation, lighting is getting a lot more attention in the </w:t>
      </w:r>
      <w:r>
        <w:lastRenderedPageBreak/>
        <w:t xml:space="preserve">residential and commercial space.  Additionally, advanced lighting controls are </w:t>
      </w:r>
      <w:r w:rsidR="001B7394">
        <w:t>entering the marketplace in a highly visible way, so there is more exposure to lighting and more likelihood that non-EBR practices will involve lighting projects.</w:t>
      </w:r>
    </w:p>
    <w:p w14:paraId="2BC873D5" w14:textId="787B5C51" w:rsidR="001B7394" w:rsidRPr="00176A65" w:rsidRDefault="001B7394" w:rsidP="00176A65">
      <w:r>
        <w:t>I do agree that a certain deduction needs to be taken out with respect to the common pr</w:t>
      </w:r>
      <w:r w:rsidR="00972172">
        <w:t>actice.</w:t>
      </w:r>
      <w:r w:rsidR="006E2D68">
        <w:t xml:space="preserve"> </w:t>
      </w:r>
      <w:r>
        <w:t>For these reasons</w:t>
      </w:r>
      <w:r w:rsidR="00972172">
        <w:t xml:space="preserve">, </w:t>
      </w:r>
      <w:r w:rsidR="006E2D68">
        <w:t>I chose a</w:t>
      </w:r>
      <w:r w:rsidR="00972172">
        <w:t xml:space="preserve"> </w:t>
      </w:r>
      <w:r w:rsidR="006E2D68">
        <w:t xml:space="preserve">value of </w:t>
      </w:r>
      <w:r w:rsidR="00972172" w:rsidRPr="006E2D68">
        <w:rPr>
          <w:b/>
        </w:rPr>
        <w:t>50%</w:t>
      </w:r>
      <w:r w:rsidR="006E2D68" w:rsidRPr="006E2D68">
        <w:rPr>
          <w:b/>
        </w:rPr>
        <w:t xml:space="preserve"> code-interactivity</w:t>
      </w:r>
      <w:r w:rsidR="00972172">
        <w:t>.  The 50% not impacted by code falls under the logic of the avoidance of code and/or unawareness/unwillingness to change systems out, especially without a tenant relocation being in effect.</w:t>
      </w:r>
    </w:p>
    <w:p w14:paraId="6897C0F1" w14:textId="24A5AB2D" w:rsidR="00076BD7" w:rsidRDefault="00076BD7" w:rsidP="00076BD7">
      <w:pPr>
        <w:pStyle w:val="Heading4"/>
      </w:pPr>
      <w:r>
        <w:t>Plug Load</w:t>
      </w:r>
    </w:p>
    <w:p w14:paraId="29330077" w14:textId="779CD233" w:rsidR="00076BD7" w:rsidRDefault="00076BD7" w:rsidP="00076BD7">
      <w:r>
        <w:t>Plug load is not considered in building codes.  Therefore, the team gave EBR full credit for the plug load savings practices.</w:t>
      </w:r>
    </w:p>
    <w:p w14:paraId="5757ADF9" w14:textId="77777777" w:rsidR="00972172" w:rsidRDefault="00972172" w:rsidP="00972172">
      <w:pPr>
        <w:pStyle w:val="Heading5"/>
      </w:pPr>
      <w:r>
        <w:t>Planner’s response</w:t>
      </w:r>
    </w:p>
    <w:p w14:paraId="26E26C0B" w14:textId="0CDF2146" w:rsidR="00972172" w:rsidRDefault="00972172" w:rsidP="00076BD7">
      <w:r>
        <w:t xml:space="preserve">I agree with the team and agree that plug load has no intersection with code.  There is a </w:t>
      </w:r>
      <w:r w:rsidRPr="006E2D68">
        <w:rPr>
          <w:b/>
        </w:rPr>
        <w:t>0% overlap with code</w:t>
      </w:r>
      <w:r>
        <w:t>.</w:t>
      </w:r>
    </w:p>
    <w:p w14:paraId="2F9176D4" w14:textId="5F3C4579" w:rsidR="006E2D68" w:rsidRDefault="006E2D68" w:rsidP="006E2D68">
      <w:pPr>
        <w:pStyle w:val="Heading4"/>
      </w:pPr>
      <w:r>
        <w:t>Results of analysis</w:t>
      </w:r>
    </w:p>
    <w:p w14:paraId="7D22D3FD" w14:textId="1680D5C9" w:rsidR="00210703" w:rsidRDefault="006E2D68" w:rsidP="006E2D68">
      <w:r>
        <w:t>The results of the analysis end up altering the “planned replacements” portion of the participants in the 30% of participants that would have done work.  The cross-product of this has a low impact on code sensitivity for the model.</w:t>
      </w:r>
    </w:p>
    <w:p w14:paraId="5DA2BFDA" w14:textId="628DB5E6" w:rsidR="006E2D68" w:rsidRDefault="006E2D68" w:rsidP="006E2D68">
      <w:r>
        <w:t xml:space="preserve">The team’s values result in a figure of 76% of those projects being attributed to EBR, which results in an overall 20-year above-code figure of </w:t>
      </w:r>
      <w:r w:rsidR="006528F6">
        <w:t>19.4</w:t>
      </w:r>
      <w:r>
        <w:t xml:space="preserve"> aMW, a change of -</w:t>
      </w:r>
      <w:r w:rsidR="006528F6">
        <w:t>0.5</w:t>
      </w:r>
      <w:r>
        <w:t xml:space="preserve"> aMW from the original 19.9 aMW</w:t>
      </w:r>
      <w:r w:rsidR="00210703">
        <w:t xml:space="preserve"> given the isolation of this variable</w:t>
      </w:r>
      <w:r>
        <w:t xml:space="preserve">. </w:t>
      </w:r>
    </w:p>
    <w:p w14:paraId="5998AACE" w14:textId="21636694" w:rsidR="00210703" w:rsidRPr="006E2D68" w:rsidRDefault="006E2D68" w:rsidP="006E2D68">
      <w:r>
        <w:t xml:space="preserve">Using my figures, this goes to </w:t>
      </w:r>
      <w:r w:rsidR="006528F6">
        <w:t>18.3</w:t>
      </w:r>
      <w:r>
        <w:t xml:space="preserve"> aMW, which is a difference due to codes of </w:t>
      </w:r>
      <w:r w:rsidR="006528F6">
        <w:t>-1.6</w:t>
      </w:r>
      <w:r>
        <w:t xml:space="preserve"> aMW.</w:t>
      </w:r>
    </w:p>
    <w:p w14:paraId="28065347" w14:textId="77777777" w:rsidR="00AC78E3" w:rsidRDefault="00AC78E3">
      <w:pPr>
        <w:rPr>
          <w:smallCaps/>
          <w:spacing w:val="5"/>
          <w:sz w:val="36"/>
          <w:szCs w:val="36"/>
        </w:rPr>
      </w:pPr>
      <w:r>
        <w:br w:type="page"/>
      </w:r>
    </w:p>
    <w:p w14:paraId="0D1463C3" w14:textId="6EC8CA50" w:rsidR="00CF5590" w:rsidRPr="00103CE3" w:rsidRDefault="00CF5590" w:rsidP="00CF5590">
      <w:pPr>
        <w:pStyle w:val="Heading1"/>
      </w:pPr>
      <w:r>
        <w:lastRenderedPageBreak/>
        <w:t>Appendix B</w:t>
      </w:r>
    </w:p>
    <w:p w14:paraId="041C76DF" w14:textId="7BB39F74" w:rsidR="00103CE3" w:rsidRDefault="00D452A8" w:rsidP="00D452A8">
      <w:pPr>
        <w:pStyle w:val="Heading2"/>
      </w:pPr>
      <w:r>
        <w:t>Other Assumptions not changed</w:t>
      </w:r>
    </w:p>
    <w:p w14:paraId="726F9950" w14:textId="6B2A5B69" w:rsidR="00D452A8" w:rsidRPr="00D452A8" w:rsidRDefault="00D452A8" w:rsidP="00D452A8">
      <w:r>
        <w:t>Other assumptions and factors can complicate the modeling.  For archival purposes, I’m including some of the more important ones here.</w:t>
      </w:r>
    </w:p>
    <w:p w14:paraId="098D4835" w14:textId="34151A60" w:rsidR="00D452A8" w:rsidRDefault="00D452A8" w:rsidP="00D452A8">
      <w:pPr>
        <w:pStyle w:val="Heading3"/>
      </w:pPr>
      <w:r>
        <w:t>Model shape</w:t>
      </w:r>
    </w:p>
    <w:p w14:paraId="464A3A43" w14:textId="7C6912CA" w:rsidR="00D452A8" w:rsidRPr="00D452A8" w:rsidRDefault="00D452A8" w:rsidP="00D452A8">
      <w:r>
        <w:t xml:space="preserve">Model shape defines market adoption and the maximum market penetration. </w:t>
      </w:r>
    </w:p>
    <w:p w14:paraId="34F916CF" w14:textId="18787D4B" w:rsidR="00D452A8" w:rsidRDefault="00D452A8" w:rsidP="00D452A8">
      <w:pPr>
        <w:pStyle w:val="ListParagraph"/>
        <w:numPr>
          <w:ilvl w:val="0"/>
          <w:numId w:val="17"/>
        </w:numPr>
      </w:pPr>
      <w:r>
        <w:t>Estimated market penetration modeled on an S-curve</w:t>
      </w:r>
    </w:p>
    <w:p w14:paraId="1A85C237" w14:textId="1C8EA639" w:rsidR="00D452A8" w:rsidRDefault="00D452A8" w:rsidP="00D452A8">
      <w:pPr>
        <w:pStyle w:val="ListParagraph"/>
        <w:numPr>
          <w:ilvl w:val="0"/>
          <w:numId w:val="17"/>
        </w:numPr>
      </w:pPr>
      <w:r>
        <w:t>Estimated baseline penetration modeled on an S-curve</w:t>
      </w:r>
    </w:p>
    <w:tbl>
      <w:tblPr>
        <w:tblW w:w="9400" w:type="dxa"/>
        <w:tblInd w:w="98" w:type="dxa"/>
        <w:tblLook w:val="04A0" w:firstRow="1" w:lastRow="0" w:firstColumn="1" w:lastColumn="0" w:noHBand="0" w:noVBand="1"/>
      </w:tblPr>
      <w:tblGrid>
        <w:gridCol w:w="2328"/>
        <w:gridCol w:w="2448"/>
        <w:gridCol w:w="2093"/>
        <w:gridCol w:w="2531"/>
      </w:tblGrid>
      <w:tr w:rsidR="00D452A8" w:rsidRPr="00D452A8" w14:paraId="072928EB" w14:textId="77777777" w:rsidTr="00D452A8">
        <w:trPr>
          <w:trHeight w:val="630"/>
        </w:trPr>
        <w:tc>
          <w:tcPr>
            <w:tcW w:w="2328" w:type="dxa"/>
            <w:tcBorders>
              <w:top w:val="single" w:sz="8" w:space="0" w:color="auto"/>
              <w:left w:val="single" w:sz="8" w:space="0" w:color="auto"/>
              <w:bottom w:val="double" w:sz="6" w:space="0" w:color="808080"/>
              <w:right w:val="nil"/>
            </w:tcBorders>
            <w:shd w:val="clear" w:color="000000" w:fill="FFFFFF"/>
            <w:noWrap/>
            <w:vAlign w:val="bottom"/>
            <w:hideMark/>
          </w:tcPr>
          <w:p w14:paraId="165EF9C6" w14:textId="77777777" w:rsidR="00D452A8" w:rsidRPr="00D452A8" w:rsidRDefault="00D452A8" w:rsidP="00D452A8">
            <w:pPr>
              <w:spacing w:after="0" w:line="240" w:lineRule="auto"/>
              <w:rPr>
                <w:rFonts w:ascii="Calibri" w:eastAsia="Times New Roman" w:hAnsi="Calibri" w:cs="Arial"/>
                <w:sz w:val="16"/>
                <w:szCs w:val="16"/>
                <w:lang w:eastAsia="zh-CN" w:bidi="hi-IN"/>
              </w:rPr>
            </w:pPr>
            <w:r w:rsidRPr="00D452A8">
              <w:rPr>
                <w:rFonts w:ascii="Calibri" w:eastAsia="Times New Roman" w:hAnsi="Calibri" w:cs="Arial"/>
                <w:sz w:val="16"/>
                <w:szCs w:val="16"/>
                <w:lang w:eastAsia="zh-CN" w:bidi="hi-IN"/>
              </w:rPr>
              <w:t> </w:t>
            </w:r>
          </w:p>
        </w:tc>
        <w:tc>
          <w:tcPr>
            <w:tcW w:w="2448" w:type="dxa"/>
            <w:tcBorders>
              <w:top w:val="single" w:sz="8" w:space="0" w:color="auto"/>
              <w:left w:val="nil"/>
              <w:bottom w:val="double" w:sz="6" w:space="0" w:color="808080"/>
              <w:right w:val="single" w:sz="4" w:space="0" w:color="808080"/>
            </w:tcBorders>
            <w:shd w:val="clear" w:color="000000" w:fill="FFFFFF"/>
            <w:noWrap/>
            <w:vAlign w:val="bottom"/>
            <w:hideMark/>
          </w:tcPr>
          <w:p w14:paraId="54A0D12F" w14:textId="77777777" w:rsidR="00D452A8" w:rsidRPr="00D452A8" w:rsidRDefault="00D452A8" w:rsidP="00D452A8">
            <w:pPr>
              <w:spacing w:after="0" w:line="240" w:lineRule="auto"/>
              <w:rPr>
                <w:rFonts w:ascii="Calibri" w:eastAsia="Times New Roman" w:hAnsi="Calibri" w:cs="Arial"/>
                <w:sz w:val="20"/>
                <w:szCs w:val="20"/>
                <w:lang w:eastAsia="zh-CN" w:bidi="hi-IN"/>
              </w:rPr>
            </w:pPr>
            <w:r w:rsidRPr="00D452A8">
              <w:rPr>
                <w:rFonts w:ascii="Calibri" w:eastAsia="Times New Roman" w:hAnsi="Calibri" w:cs="Arial"/>
                <w:sz w:val="20"/>
                <w:szCs w:val="20"/>
                <w:lang w:eastAsia="zh-CN" w:bidi="hi-IN"/>
              </w:rPr>
              <w:t>Parameter</w:t>
            </w:r>
          </w:p>
        </w:tc>
        <w:tc>
          <w:tcPr>
            <w:tcW w:w="2093" w:type="dxa"/>
            <w:tcBorders>
              <w:top w:val="single" w:sz="8" w:space="0" w:color="auto"/>
              <w:left w:val="nil"/>
              <w:bottom w:val="nil"/>
              <w:right w:val="nil"/>
            </w:tcBorders>
            <w:shd w:val="clear" w:color="000000" w:fill="CEDDAB"/>
            <w:vAlign w:val="center"/>
            <w:hideMark/>
          </w:tcPr>
          <w:p w14:paraId="3885D104" w14:textId="77777777" w:rsidR="00D452A8" w:rsidRPr="00D452A8" w:rsidRDefault="00D452A8" w:rsidP="00D452A8">
            <w:pPr>
              <w:spacing w:after="0" w:line="240" w:lineRule="auto"/>
              <w:jc w:val="right"/>
              <w:rPr>
                <w:rFonts w:ascii="Arial" w:eastAsia="Times New Roman" w:hAnsi="Arial" w:cs="Arial"/>
                <w:b/>
                <w:bCs/>
                <w:color w:val="16365C"/>
                <w:sz w:val="16"/>
                <w:szCs w:val="16"/>
                <w:lang w:eastAsia="zh-CN" w:bidi="hi-IN"/>
              </w:rPr>
            </w:pPr>
            <w:r w:rsidRPr="00D452A8">
              <w:rPr>
                <w:rFonts w:ascii="Arial" w:eastAsia="Times New Roman" w:hAnsi="Arial" w:cs="Arial"/>
                <w:b/>
                <w:bCs/>
                <w:color w:val="16365C"/>
                <w:sz w:val="16"/>
                <w:szCs w:val="16"/>
                <w:lang w:eastAsia="zh-CN" w:bidi="hi-IN"/>
              </w:rPr>
              <w:t>Market Share</w:t>
            </w:r>
          </w:p>
        </w:tc>
        <w:tc>
          <w:tcPr>
            <w:tcW w:w="2531" w:type="dxa"/>
            <w:tcBorders>
              <w:top w:val="single" w:sz="8" w:space="0" w:color="auto"/>
              <w:left w:val="nil"/>
              <w:bottom w:val="nil"/>
              <w:right w:val="nil"/>
            </w:tcBorders>
            <w:shd w:val="clear" w:color="000000" w:fill="CEDDAB"/>
            <w:vAlign w:val="center"/>
            <w:hideMark/>
          </w:tcPr>
          <w:p w14:paraId="00B0513C" w14:textId="77777777" w:rsidR="00D452A8" w:rsidRPr="00D452A8" w:rsidRDefault="00D452A8" w:rsidP="00D452A8">
            <w:pPr>
              <w:spacing w:after="0" w:line="240" w:lineRule="auto"/>
              <w:jc w:val="right"/>
              <w:rPr>
                <w:rFonts w:ascii="Arial" w:eastAsia="Times New Roman" w:hAnsi="Arial" w:cs="Arial"/>
                <w:b/>
                <w:bCs/>
                <w:color w:val="16365C"/>
                <w:sz w:val="16"/>
                <w:szCs w:val="16"/>
                <w:lang w:eastAsia="zh-CN" w:bidi="hi-IN"/>
              </w:rPr>
            </w:pPr>
            <w:r w:rsidRPr="00D452A8">
              <w:rPr>
                <w:rFonts w:ascii="Arial" w:eastAsia="Times New Roman" w:hAnsi="Arial" w:cs="Arial"/>
                <w:b/>
                <w:bCs/>
                <w:color w:val="16365C"/>
                <w:sz w:val="16"/>
                <w:szCs w:val="16"/>
                <w:lang w:eastAsia="zh-CN" w:bidi="hi-IN"/>
              </w:rPr>
              <w:t>Naturally-occurring Baseline market Share</w:t>
            </w:r>
          </w:p>
        </w:tc>
      </w:tr>
      <w:tr w:rsidR="00D452A8" w:rsidRPr="00D452A8" w14:paraId="4C459465" w14:textId="77777777" w:rsidTr="00D452A8">
        <w:trPr>
          <w:trHeight w:val="263"/>
        </w:trPr>
        <w:tc>
          <w:tcPr>
            <w:tcW w:w="4776" w:type="dxa"/>
            <w:gridSpan w:val="2"/>
            <w:tcBorders>
              <w:top w:val="nil"/>
              <w:left w:val="single" w:sz="8" w:space="0" w:color="auto"/>
              <w:bottom w:val="nil"/>
              <w:right w:val="nil"/>
            </w:tcBorders>
            <w:shd w:val="clear" w:color="000000" w:fill="CEDDAB"/>
            <w:vAlign w:val="center"/>
            <w:hideMark/>
          </w:tcPr>
          <w:p w14:paraId="511362BD" w14:textId="77777777" w:rsidR="00D452A8" w:rsidRPr="00D452A8" w:rsidRDefault="00D452A8" w:rsidP="00D452A8">
            <w:pPr>
              <w:spacing w:after="0" w:line="240" w:lineRule="auto"/>
              <w:jc w:val="right"/>
              <w:rPr>
                <w:rFonts w:ascii="Arial" w:eastAsia="Times New Roman" w:hAnsi="Arial" w:cs="Arial"/>
                <w:b/>
                <w:bCs/>
                <w:color w:val="16365C"/>
                <w:sz w:val="18"/>
                <w:szCs w:val="18"/>
                <w:lang w:eastAsia="zh-CN" w:bidi="hi-IN"/>
              </w:rPr>
            </w:pPr>
            <w:r w:rsidRPr="00D452A8">
              <w:rPr>
                <w:rFonts w:ascii="Arial" w:eastAsia="Times New Roman" w:hAnsi="Arial" w:cs="Arial"/>
                <w:b/>
                <w:bCs/>
                <w:color w:val="16365C"/>
                <w:sz w:val="18"/>
                <w:szCs w:val="18"/>
                <w:lang w:eastAsia="zh-CN" w:bidi="hi-IN"/>
              </w:rPr>
              <w:t xml:space="preserve">Base Year </w:t>
            </w:r>
          </w:p>
        </w:tc>
        <w:tc>
          <w:tcPr>
            <w:tcW w:w="2093" w:type="dxa"/>
            <w:tcBorders>
              <w:top w:val="dotted" w:sz="4" w:space="0" w:color="A6A6A6"/>
              <w:left w:val="dotted" w:sz="4" w:space="0" w:color="A6A6A6"/>
              <w:bottom w:val="dotted" w:sz="4" w:space="0" w:color="A6A6A6"/>
              <w:right w:val="dotted" w:sz="4" w:space="0" w:color="A6A6A6"/>
            </w:tcBorders>
            <w:shd w:val="clear" w:color="000000" w:fill="FFFFB4"/>
            <w:noWrap/>
            <w:vAlign w:val="center"/>
            <w:hideMark/>
          </w:tcPr>
          <w:p w14:paraId="6FBFC7CF" w14:textId="77777777" w:rsidR="00D452A8" w:rsidRPr="00D452A8" w:rsidRDefault="00D452A8" w:rsidP="00D452A8">
            <w:pPr>
              <w:spacing w:after="0" w:line="240" w:lineRule="auto"/>
              <w:jc w:val="center"/>
              <w:rPr>
                <w:rFonts w:ascii="Calibri" w:eastAsia="Times New Roman" w:hAnsi="Calibri" w:cs="Arial"/>
                <w:color w:val="3F3F76"/>
                <w:lang w:eastAsia="zh-CN" w:bidi="hi-IN"/>
              </w:rPr>
            </w:pPr>
            <w:r w:rsidRPr="00D452A8">
              <w:rPr>
                <w:rFonts w:ascii="Calibri" w:eastAsia="Times New Roman" w:hAnsi="Calibri" w:cs="Arial"/>
                <w:color w:val="3F3F76"/>
                <w:lang w:eastAsia="zh-CN" w:bidi="hi-IN"/>
              </w:rPr>
              <w:t>2013</w:t>
            </w:r>
          </w:p>
        </w:tc>
        <w:tc>
          <w:tcPr>
            <w:tcW w:w="2531" w:type="dxa"/>
            <w:tcBorders>
              <w:top w:val="dotted" w:sz="4" w:space="0" w:color="A6A6A6"/>
              <w:left w:val="nil"/>
              <w:bottom w:val="dotted" w:sz="4" w:space="0" w:color="A6A6A6"/>
              <w:right w:val="dotted" w:sz="4" w:space="0" w:color="A6A6A6"/>
            </w:tcBorders>
            <w:shd w:val="clear" w:color="000000" w:fill="FFFFB4"/>
            <w:noWrap/>
            <w:vAlign w:val="center"/>
            <w:hideMark/>
          </w:tcPr>
          <w:p w14:paraId="2B613BF3" w14:textId="77777777" w:rsidR="00D452A8" w:rsidRPr="00D452A8" w:rsidRDefault="00D452A8" w:rsidP="00D452A8">
            <w:pPr>
              <w:spacing w:after="0" w:line="240" w:lineRule="auto"/>
              <w:jc w:val="center"/>
              <w:rPr>
                <w:rFonts w:ascii="Calibri" w:eastAsia="Times New Roman" w:hAnsi="Calibri" w:cs="Arial"/>
                <w:color w:val="3F3F76"/>
                <w:lang w:eastAsia="zh-CN" w:bidi="hi-IN"/>
              </w:rPr>
            </w:pPr>
            <w:r w:rsidRPr="00D452A8">
              <w:rPr>
                <w:rFonts w:ascii="Calibri" w:eastAsia="Times New Roman" w:hAnsi="Calibri" w:cs="Arial"/>
                <w:color w:val="3F3F76"/>
                <w:lang w:eastAsia="zh-CN" w:bidi="hi-IN"/>
              </w:rPr>
              <w:t>2013</w:t>
            </w:r>
          </w:p>
        </w:tc>
      </w:tr>
      <w:tr w:rsidR="00D452A8" w:rsidRPr="00D452A8" w14:paraId="1573AEE8" w14:textId="77777777" w:rsidTr="00D452A8">
        <w:trPr>
          <w:trHeight w:val="263"/>
        </w:trPr>
        <w:tc>
          <w:tcPr>
            <w:tcW w:w="4776" w:type="dxa"/>
            <w:gridSpan w:val="2"/>
            <w:tcBorders>
              <w:top w:val="nil"/>
              <w:left w:val="single" w:sz="8" w:space="0" w:color="auto"/>
              <w:bottom w:val="nil"/>
              <w:right w:val="nil"/>
            </w:tcBorders>
            <w:shd w:val="clear" w:color="000000" w:fill="CEDDAB"/>
            <w:vAlign w:val="center"/>
            <w:hideMark/>
          </w:tcPr>
          <w:p w14:paraId="245ACC99" w14:textId="77777777" w:rsidR="00D452A8" w:rsidRPr="00D452A8" w:rsidRDefault="00D452A8" w:rsidP="00D452A8">
            <w:pPr>
              <w:spacing w:after="0" w:line="240" w:lineRule="auto"/>
              <w:jc w:val="right"/>
              <w:rPr>
                <w:rFonts w:ascii="Arial" w:eastAsia="Times New Roman" w:hAnsi="Arial" w:cs="Arial"/>
                <w:b/>
                <w:bCs/>
                <w:color w:val="16365C"/>
                <w:sz w:val="18"/>
                <w:szCs w:val="18"/>
                <w:lang w:eastAsia="zh-CN" w:bidi="hi-IN"/>
              </w:rPr>
            </w:pPr>
            <w:r w:rsidRPr="00D452A8">
              <w:rPr>
                <w:rFonts w:ascii="Arial" w:eastAsia="Times New Roman" w:hAnsi="Arial" w:cs="Arial"/>
                <w:b/>
                <w:bCs/>
                <w:color w:val="16365C"/>
                <w:sz w:val="18"/>
                <w:szCs w:val="18"/>
                <w:lang w:eastAsia="zh-CN" w:bidi="hi-IN"/>
              </w:rPr>
              <w:t>Initial Market Share (%)</w:t>
            </w:r>
          </w:p>
        </w:tc>
        <w:tc>
          <w:tcPr>
            <w:tcW w:w="2093" w:type="dxa"/>
            <w:tcBorders>
              <w:top w:val="dotted" w:sz="4" w:space="0" w:color="F79646"/>
              <w:left w:val="dotted" w:sz="4" w:space="0" w:color="F79646"/>
              <w:bottom w:val="dotted" w:sz="4" w:space="0" w:color="F79646"/>
              <w:right w:val="dotted" w:sz="4" w:space="0" w:color="F79646"/>
            </w:tcBorders>
            <w:shd w:val="clear" w:color="000000" w:fill="F2FEAC"/>
            <w:noWrap/>
            <w:vAlign w:val="bottom"/>
            <w:hideMark/>
          </w:tcPr>
          <w:p w14:paraId="4A67BE42"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r w:rsidRPr="00D452A8">
              <w:rPr>
                <w:rFonts w:ascii="Calibri" w:eastAsia="Times New Roman" w:hAnsi="Calibri" w:cs="Arial"/>
                <w:b/>
                <w:bCs/>
                <w:i/>
                <w:iCs/>
                <w:color w:val="FA7D00"/>
                <w:lang w:eastAsia="zh-CN" w:bidi="hi-IN"/>
              </w:rPr>
              <w:t>0%</w:t>
            </w:r>
          </w:p>
        </w:tc>
        <w:tc>
          <w:tcPr>
            <w:tcW w:w="2531" w:type="dxa"/>
            <w:tcBorders>
              <w:top w:val="dotted" w:sz="4" w:space="0" w:color="F79646"/>
              <w:left w:val="nil"/>
              <w:bottom w:val="dotted" w:sz="4" w:space="0" w:color="F79646"/>
              <w:right w:val="dotted" w:sz="4" w:space="0" w:color="F79646"/>
            </w:tcBorders>
            <w:shd w:val="clear" w:color="000000" w:fill="F2FEAC"/>
            <w:noWrap/>
            <w:vAlign w:val="bottom"/>
            <w:hideMark/>
          </w:tcPr>
          <w:p w14:paraId="08FAB80E"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r w:rsidRPr="00D452A8">
              <w:rPr>
                <w:rFonts w:ascii="Calibri" w:eastAsia="Times New Roman" w:hAnsi="Calibri" w:cs="Arial"/>
                <w:b/>
                <w:bCs/>
                <w:i/>
                <w:iCs/>
                <w:color w:val="FA7D00"/>
                <w:lang w:eastAsia="zh-CN" w:bidi="hi-IN"/>
              </w:rPr>
              <w:t>0%</w:t>
            </w:r>
          </w:p>
        </w:tc>
      </w:tr>
      <w:tr w:rsidR="00D452A8" w:rsidRPr="00D452A8" w14:paraId="17A7B12F" w14:textId="77777777" w:rsidTr="00D452A8">
        <w:trPr>
          <w:trHeight w:val="263"/>
        </w:trPr>
        <w:tc>
          <w:tcPr>
            <w:tcW w:w="4776" w:type="dxa"/>
            <w:gridSpan w:val="2"/>
            <w:tcBorders>
              <w:top w:val="nil"/>
              <w:left w:val="single" w:sz="8" w:space="0" w:color="auto"/>
              <w:bottom w:val="nil"/>
              <w:right w:val="nil"/>
            </w:tcBorders>
            <w:shd w:val="clear" w:color="000000" w:fill="CEDDAB"/>
            <w:vAlign w:val="center"/>
            <w:hideMark/>
          </w:tcPr>
          <w:p w14:paraId="1209A824" w14:textId="77777777" w:rsidR="00D452A8" w:rsidRPr="00D452A8" w:rsidRDefault="00D452A8" w:rsidP="00D452A8">
            <w:pPr>
              <w:spacing w:after="0" w:line="240" w:lineRule="auto"/>
              <w:jc w:val="right"/>
              <w:rPr>
                <w:rFonts w:ascii="Arial" w:eastAsia="Times New Roman" w:hAnsi="Arial" w:cs="Arial"/>
                <w:b/>
                <w:bCs/>
                <w:color w:val="16365C"/>
                <w:sz w:val="18"/>
                <w:szCs w:val="18"/>
                <w:lang w:eastAsia="zh-CN" w:bidi="hi-IN"/>
              </w:rPr>
            </w:pPr>
            <w:r w:rsidRPr="00D452A8">
              <w:rPr>
                <w:rFonts w:ascii="Arial" w:eastAsia="Times New Roman" w:hAnsi="Arial" w:cs="Arial"/>
                <w:b/>
                <w:bCs/>
                <w:color w:val="16365C"/>
                <w:sz w:val="18"/>
                <w:szCs w:val="18"/>
                <w:lang w:eastAsia="zh-CN" w:bidi="hi-IN"/>
              </w:rPr>
              <w:t>Max Potential (%)</w:t>
            </w:r>
          </w:p>
        </w:tc>
        <w:tc>
          <w:tcPr>
            <w:tcW w:w="2093" w:type="dxa"/>
            <w:tcBorders>
              <w:top w:val="nil"/>
              <w:left w:val="dotted" w:sz="4" w:space="0" w:color="F79646"/>
              <w:bottom w:val="dotted" w:sz="4" w:space="0" w:color="F79646"/>
              <w:right w:val="dotted" w:sz="4" w:space="0" w:color="F79646"/>
            </w:tcBorders>
            <w:shd w:val="clear" w:color="000000" w:fill="F2FEAC"/>
            <w:noWrap/>
            <w:vAlign w:val="bottom"/>
            <w:hideMark/>
          </w:tcPr>
          <w:p w14:paraId="178426DA"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bookmarkStart w:id="3" w:name="RANGE!G6"/>
            <w:bookmarkStart w:id="4" w:name="RANGE!F6"/>
            <w:bookmarkStart w:id="5" w:name="RANGE!E6"/>
            <w:bookmarkStart w:id="6" w:name="RANGE!F7"/>
            <w:bookmarkEnd w:id="3"/>
            <w:bookmarkEnd w:id="4"/>
            <w:bookmarkEnd w:id="5"/>
            <w:r w:rsidRPr="00D452A8">
              <w:rPr>
                <w:rFonts w:ascii="Calibri" w:eastAsia="Times New Roman" w:hAnsi="Calibri" w:cs="Arial"/>
                <w:b/>
                <w:bCs/>
                <w:i/>
                <w:iCs/>
                <w:color w:val="FA7D00"/>
                <w:lang w:eastAsia="zh-CN" w:bidi="hi-IN"/>
              </w:rPr>
              <w:t>33%</w:t>
            </w:r>
            <w:bookmarkEnd w:id="6"/>
          </w:p>
        </w:tc>
        <w:tc>
          <w:tcPr>
            <w:tcW w:w="2531" w:type="dxa"/>
            <w:tcBorders>
              <w:top w:val="nil"/>
              <w:left w:val="nil"/>
              <w:bottom w:val="dotted" w:sz="4" w:space="0" w:color="F79646"/>
              <w:right w:val="dotted" w:sz="4" w:space="0" w:color="F79646"/>
            </w:tcBorders>
            <w:shd w:val="clear" w:color="000000" w:fill="F2FEAC"/>
            <w:noWrap/>
            <w:vAlign w:val="bottom"/>
            <w:hideMark/>
          </w:tcPr>
          <w:p w14:paraId="43D32E65"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bookmarkStart w:id="7" w:name="RANGE!G7"/>
            <w:r w:rsidRPr="00D452A8">
              <w:rPr>
                <w:rFonts w:ascii="Calibri" w:eastAsia="Times New Roman" w:hAnsi="Calibri" w:cs="Arial"/>
                <w:b/>
                <w:bCs/>
                <w:i/>
                <w:iCs/>
                <w:color w:val="FA7D00"/>
                <w:lang w:eastAsia="zh-CN" w:bidi="hi-IN"/>
              </w:rPr>
              <w:t>17%</w:t>
            </w:r>
            <w:bookmarkEnd w:id="7"/>
          </w:p>
        </w:tc>
      </w:tr>
      <w:tr w:rsidR="00D452A8" w:rsidRPr="00D452A8" w14:paraId="46C2A316" w14:textId="77777777" w:rsidTr="00D452A8">
        <w:trPr>
          <w:trHeight w:val="263"/>
        </w:trPr>
        <w:tc>
          <w:tcPr>
            <w:tcW w:w="4776" w:type="dxa"/>
            <w:gridSpan w:val="2"/>
            <w:tcBorders>
              <w:top w:val="nil"/>
              <w:left w:val="single" w:sz="8" w:space="0" w:color="auto"/>
              <w:bottom w:val="nil"/>
              <w:right w:val="nil"/>
            </w:tcBorders>
            <w:shd w:val="clear" w:color="000000" w:fill="CEDDAB"/>
            <w:vAlign w:val="center"/>
            <w:hideMark/>
          </w:tcPr>
          <w:p w14:paraId="17451F69" w14:textId="77777777" w:rsidR="00D452A8" w:rsidRPr="00D452A8" w:rsidRDefault="00D452A8" w:rsidP="00D452A8">
            <w:pPr>
              <w:spacing w:after="0" w:line="240" w:lineRule="auto"/>
              <w:jc w:val="right"/>
              <w:rPr>
                <w:rFonts w:ascii="Arial" w:eastAsia="Times New Roman" w:hAnsi="Arial" w:cs="Arial"/>
                <w:b/>
                <w:bCs/>
                <w:color w:val="16365C"/>
                <w:sz w:val="18"/>
                <w:szCs w:val="18"/>
                <w:lang w:eastAsia="zh-CN" w:bidi="hi-IN"/>
              </w:rPr>
            </w:pPr>
            <w:r w:rsidRPr="00D452A8">
              <w:rPr>
                <w:rFonts w:ascii="Arial" w:eastAsia="Times New Roman" w:hAnsi="Arial" w:cs="Arial"/>
                <w:b/>
                <w:bCs/>
                <w:color w:val="16365C"/>
                <w:sz w:val="18"/>
                <w:szCs w:val="18"/>
                <w:lang w:eastAsia="zh-CN" w:bidi="hi-IN"/>
              </w:rPr>
              <w:t>Remaining Saturation</w:t>
            </w:r>
          </w:p>
        </w:tc>
        <w:tc>
          <w:tcPr>
            <w:tcW w:w="2093" w:type="dxa"/>
            <w:tcBorders>
              <w:top w:val="double" w:sz="6" w:space="0" w:color="3F3F3F"/>
              <w:left w:val="double" w:sz="6" w:space="0" w:color="3F3F3F"/>
              <w:bottom w:val="double" w:sz="6" w:space="0" w:color="3F3F3F"/>
              <w:right w:val="double" w:sz="6" w:space="0" w:color="3F3F3F"/>
            </w:tcBorders>
            <w:shd w:val="clear" w:color="000000" w:fill="A5A5A5"/>
            <w:noWrap/>
            <w:vAlign w:val="bottom"/>
            <w:hideMark/>
          </w:tcPr>
          <w:p w14:paraId="51D2AF9F" w14:textId="77777777" w:rsidR="00D452A8" w:rsidRPr="00D452A8" w:rsidRDefault="00D452A8" w:rsidP="00D452A8">
            <w:pPr>
              <w:spacing w:after="0" w:line="240" w:lineRule="auto"/>
              <w:jc w:val="right"/>
              <w:rPr>
                <w:rFonts w:ascii="Calibri" w:eastAsia="Times New Roman" w:hAnsi="Calibri" w:cs="Arial"/>
                <w:b/>
                <w:bCs/>
                <w:color w:val="FFFFFF"/>
                <w:lang w:eastAsia="zh-CN" w:bidi="hi-IN"/>
              </w:rPr>
            </w:pPr>
            <w:bookmarkStart w:id="8" w:name="RANGE!F8"/>
            <w:r w:rsidRPr="00D452A8">
              <w:rPr>
                <w:rFonts w:ascii="Calibri" w:eastAsia="Times New Roman" w:hAnsi="Calibri" w:cs="Arial"/>
                <w:b/>
                <w:bCs/>
                <w:color w:val="FFFFFF"/>
                <w:lang w:eastAsia="zh-CN" w:bidi="hi-IN"/>
              </w:rPr>
              <w:t>33%</w:t>
            </w:r>
            <w:bookmarkEnd w:id="8"/>
          </w:p>
        </w:tc>
        <w:tc>
          <w:tcPr>
            <w:tcW w:w="2531" w:type="dxa"/>
            <w:tcBorders>
              <w:top w:val="double" w:sz="6" w:space="0" w:color="3F3F3F"/>
              <w:left w:val="nil"/>
              <w:bottom w:val="double" w:sz="6" w:space="0" w:color="3F3F3F"/>
              <w:right w:val="double" w:sz="6" w:space="0" w:color="3F3F3F"/>
            </w:tcBorders>
            <w:shd w:val="clear" w:color="000000" w:fill="A5A5A5"/>
            <w:noWrap/>
            <w:vAlign w:val="bottom"/>
            <w:hideMark/>
          </w:tcPr>
          <w:p w14:paraId="1AA8549C" w14:textId="77777777" w:rsidR="00D452A8" w:rsidRPr="00D452A8" w:rsidRDefault="00D452A8" w:rsidP="00D452A8">
            <w:pPr>
              <w:spacing w:after="0" w:line="240" w:lineRule="auto"/>
              <w:jc w:val="right"/>
              <w:rPr>
                <w:rFonts w:ascii="Calibri" w:eastAsia="Times New Roman" w:hAnsi="Calibri" w:cs="Arial"/>
                <w:b/>
                <w:bCs/>
                <w:color w:val="FFFFFF"/>
                <w:lang w:eastAsia="zh-CN" w:bidi="hi-IN"/>
              </w:rPr>
            </w:pPr>
            <w:bookmarkStart w:id="9" w:name="RANGE!G8"/>
            <w:r w:rsidRPr="00D452A8">
              <w:rPr>
                <w:rFonts w:ascii="Calibri" w:eastAsia="Times New Roman" w:hAnsi="Calibri" w:cs="Arial"/>
                <w:b/>
                <w:bCs/>
                <w:color w:val="FFFFFF"/>
                <w:lang w:eastAsia="zh-CN" w:bidi="hi-IN"/>
              </w:rPr>
              <w:t>17%</w:t>
            </w:r>
            <w:bookmarkEnd w:id="9"/>
          </w:p>
        </w:tc>
      </w:tr>
      <w:tr w:rsidR="00D452A8" w:rsidRPr="00D452A8" w14:paraId="1FE4A399" w14:textId="77777777" w:rsidTr="00D452A8">
        <w:trPr>
          <w:trHeight w:val="263"/>
        </w:trPr>
        <w:tc>
          <w:tcPr>
            <w:tcW w:w="4776" w:type="dxa"/>
            <w:gridSpan w:val="2"/>
            <w:tcBorders>
              <w:top w:val="nil"/>
              <w:left w:val="single" w:sz="8" w:space="0" w:color="auto"/>
              <w:bottom w:val="nil"/>
              <w:right w:val="nil"/>
            </w:tcBorders>
            <w:shd w:val="clear" w:color="000000" w:fill="CEDDAB"/>
            <w:vAlign w:val="center"/>
            <w:hideMark/>
          </w:tcPr>
          <w:p w14:paraId="33F76899" w14:textId="77777777" w:rsidR="00D452A8" w:rsidRPr="00D452A8" w:rsidRDefault="00D452A8" w:rsidP="00D452A8">
            <w:pPr>
              <w:spacing w:after="0" w:line="240" w:lineRule="auto"/>
              <w:jc w:val="right"/>
              <w:rPr>
                <w:rFonts w:ascii="Arial" w:eastAsia="Times New Roman" w:hAnsi="Arial" w:cs="Arial"/>
                <w:b/>
                <w:bCs/>
                <w:color w:val="16365C"/>
                <w:sz w:val="18"/>
                <w:szCs w:val="18"/>
                <w:lang w:eastAsia="zh-CN" w:bidi="hi-IN"/>
              </w:rPr>
            </w:pPr>
            <w:r w:rsidRPr="00D452A8">
              <w:rPr>
                <w:rFonts w:ascii="Arial" w:eastAsia="Times New Roman" w:hAnsi="Arial" w:cs="Arial"/>
                <w:b/>
                <w:bCs/>
                <w:color w:val="16365C"/>
                <w:sz w:val="18"/>
                <w:szCs w:val="18"/>
                <w:lang w:eastAsia="zh-CN" w:bidi="hi-IN"/>
              </w:rPr>
              <w:t>Hypergrowth (year)</w:t>
            </w:r>
          </w:p>
        </w:tc>
        <w:tc>
          <w:tcPr>
            <w:tcW w:w="2093" w:type="dxa"/>
            <w:tcBorders>
              <w:top w:val="dotted" w:sz="4" w:space="0" w:color="F79646"/>
              <w:left w:val="dotted" w:sz="4" w:space="0" w:color="F79646"/>
              <w:bottom w:val="dotted" w:sz="4" w:space="0" w:color="F79646"/>
              <w:right w:val="dotted" w:sz="4" w:space="0" w:color="F79646"/>
            </w:tcBorders>
            <w:shd w:val="clear" w:color="000000" w:fill="F2FEAC"/>
            <w:noWrap/>
            <w:vAlign w:val="bottom"/>
            <w:hideMark/>
          </w:tcPr>
          <w:p w14:paraId="357474BF"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bookmarkStart w:id="10" w:name="RANGE!F9"/>
            <w:r w:rsidRPr="00D452A8">
              <w:rPr>
                <w:rFonts w:ascii="Calibri" w:eastAsia="Times New Roman" w:hAnsi="Calibri" w:cs="Arial"/>
                <w:b/>
                <w:bCs/>
                <w:i/>
                <w:iCs/>
                <w:color w:val="FA7D00"/>
                <w:lang w:eastAsia="zh-CN" w:bidi="hi-IN"/>
              </w:rPr>
              <w:t>2020</w:t>
            </w:r>
            <w:bookmarkEnd w:id="10"/>
          </w:p>
        </w:tc>
        <w:tc>
          <w:tcPr>
            <w:tcW w:w="2531" w:type="dxa"/>
            <w:tcBorders>
              <w:top w:val="dotted" w:sz="4" w:space="0" w:color="F79646"/>
              <w:left w:val="nil"/>
              <w:bottom w:val="dotted" w:sz="4" w:space="0" w:color="F79646"/>
              <w:right w:val="dotted" w:sz="4" w:space="0" w:color="F79646"/>
            </w:tcBorders>
            <w:shd w:val="clear" w:color="000000" w:fill="F2FEAC"/>
            <w:noWrap/>
            <w:vAlign w:val="bottom"/>
            <w:hideMark/>
          </w:tcPr>
          <w:p w14:paraId="4FAFA1F2"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bookmarkStart w:id="11" w:name="RANGE!G9"/>
            <w:r w:rsidRPr="00D452A8">
              <w:rPr>
                <w:rFonts w:ascii="Calibri" w:eastAsia="Times New Roman" w:hAnsi="Calibri" w:cs="Arial"/>
                <w:b/>
                <w:bCs/>
                <w:i/>
                <w:iCs/>
                <w:color w:val="FA7D00"/>
                <w:lang w:eastAsia="zh-CN" w:bidi="hi-IN"/>
              </w:rPr>
              <w:t>2025</w:t>
            </w:r>
            <w:bookmarkEnd w:id="11"/>
          </w:p>
        </w:tc>
      </w:tr>
      <w:tr w:rsidR="00D452A8" w:rsidRPr="00D452A8" w14:paraId="02FD92CF" w14:textId="77777777" w:rsidTr="00D452A8">
        <w:trPr>
          <w:trHeight w:val="780"/>
        </w:trPr>
        <w:tc>
          <w:tcPr>
            <w:tcW w:w="4776" w:type="dxa"/>
            <w:gridSpan w:val="2"/>
            <w:tcBorders>
              <w:top w:val="nil"/>
              <w:left w:val="single" w:sz="8" w:space="0" w:color="auto"/>
              <w:bottom w:val="nil"/>
              <w:right w:val="nil"/>
            </w:tcBorders>
            <w:shd w:val="clear" w:color="000000" w:fill="CEDDAB"/>
            <w:vAlign w:val="center"/>
            <w:hideMark/>
          </w:tcPr>
          <w:p w14:paraId="2164E087" w14:textId="77777777" w:rsidR="00D452A8" w:rsidRPr="00D452A8" w:rsidRDefault="00D452A8" w:rsidP="00D452A8">
            <w:pPr>
              <w:spacing w:after="0" w:line="240" w:lineRule="auto"/>
              <w:jc w:val="right"/>
              <w:rPr>
                <w:rFonts w:ascii="Arial" w:eastAsia="Times New Roman" w:hAnsi="Arial" w:cs="Arial"/>
                <w:b/>
                <w:bCs/>
                <w:color w:val="16365C"/>
                <w:sz w:val="18"/>
                <w:szCs w:val="18"/>
                <w:lang w:eastAsia="zh-CN" w:bidi="hi-IN"/>
              </w:rPr>
            </w:pPr>
            <w:r w:rsidRPr="00D452A8">
              <w:rPr>
                <w:rFonts w:ascii="Arial" w:eastAsia="Times New Roman" w:hAnsi="Arial" w:cs="Arial"/>
                <w:b/>
                <w:bCs/>
                <w:color w:val="16365C"/>
                <w:sz w:val="18"/>
                <w:szCs w:val="18"/>
                <w:lang w:eastAsia="zh-CN" w:bidi="hi-IN"/>
              </w:rPr>
              <w:t>Number of years after growth for transformation completion (#)</w:t>
            </w:r>
          </w:p>
        </w:tc>
        <w:tc>
          <w:tcPr>
            <w:tcW w:w="2093" w:type="dxa"/>
            <w:tcBorders>
              <w:top w:val="nil"/>
              <w:left w:val="dotted" w:sz="4" w:space="0" w:color="F79646"/>
              <w:bottom w:val="dotted" w:sz="4" w:space="0" w:color="F79646"/>
              <w:right w:val="dotted" w:sz="4" w:space="0" w:color="F79646"/>
            </w:tcBorders>
            <w:shd w:val="clear" w:color="000000" w:fill="F2FEAC"/>
            <w:noWrap/>
            <w:vAlign w:val="bottom"/>
            <w:hideMark/>
          </w:tcPr>
          <w:p w14:paraId="36065A82"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bookmarkStart w:id="12" w:name="RANGE!F10"/>
            <w:r w:rsidRPr="00D452A8">
              <w:rPr>
                <w:rFonts w:ascii="Calibri" w:eastAsia="Times New Roman" w:hAnsi="Calibri" w:cs="Arial"/>
                <w:b/>
                <w:bCs/>
                <w:i/>
                <w:iCs/>
                <w:color w:val="FA7D00"/>
                <w:lang w:eastAsia="zh-CN" w:bidi="hi-IN"/>
              </w:rPr>
              <w:t>9</w:t>
            </w:r>
            <w:bookmarkEnd w:id="12"/>
          </w:p>
        </w:tc>
        <w:tc>
          <w:tcPr>
            <w:tcW w:w="2531" w:type="dxa"/>
            <w:tcBorders>
              <w:top w:val="nil"/>
              <w:left w:val="nil"/>
              <w:bottom w:val="dotted" w:sz="4" w:space="0" w:color="F79646"/>
              <w:right w:val="dotted" w:sz="4" w:space="0" w:color="F79646"/>
            </w:tcBorders>
            <w:shd w:val="clear" w:color="000000" w:fill="F2FEAC"/>
            <w:noWrap/>
            <w:vAlign w:val="bottom"/>
            <w:hideMark/>
          </w:tcPr>
          <w:p w14:paraId="2CCB014C"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bookmarkStart w:id="13" w:name="RANGE!G10"/>
            <w:r w:rsidRPr="00D452A8">
              <w:rPr>
                <w:rFonts w:ascii="Calibri" w:eastAsia="Times New Roman" w:hAnsi="Calibri" w:cs="Arial"/>
                <w:b/>
                <w:bCs/>
                <w:i/>
                <w:iCs/>
                <w:color w:val="FA7D00"/>
                <w:lang w:eastAsia="zh-CN" w:bidi="hi-IN"/>
              </w:rPr>
              <w:t>15</w:t>
            </w:r>
            <w:bookmarkEnd w:id="13"/>
          </w:p>
        </w:tc>
      </w:tr>
      <w:tr w:rsidR="00D452A8" w:rsidRPr="00D452A8" w14:paraId="49C05452" w14:textId="77777777" w:rsidTr="00D452A8">
        <w:trPr>
          <w:trHeight w:val="780"/>
        </w:trPr>
        <w:tc>
          <w:tcPr>
            <w:tcW w:w="4776" w:type="dxa"/>
            <w:gridSpan w:val="2"/>
            <w:tcBorders>
              <w:top w:val="nil"/>
              <w:left w:val="single" w:sz="8" w:space="0" w:color="auto"/>
              <w:bottom w:val="nil"/>
              <w:right w:val="nil"/>
            </w:tcBorders>
            <w:shd w:val="clear" w:color="000000" w:fill="CEDDAB"/>
            <w:vAlign w:val="center"/>
            <w:hideMark/>
          </w:tcPr>
          <w:p w14:paraId="54F5CCA4" w14:textId="77777777" w:rsidR="00D452A8" w:rsidRPr="00D452A8" w:rsidRDefault="00D452A8" w:rsidP="00D452A8">
            <w:pPr>
              <w:spacing w:after="0" w:line="240" w:lineRule="auto"/>
              <w:jc w:val="right"/>
              <w:rPr>
                <w:rFonts w:ascii="Arial" w:eastAsia="Times New Roman" w:hAnsi="Arial" w:cs="Arial"/>
                <w:b/>
                <w:bCs/>
                <w:color w:val="16365C"/>
                <w:sz w:val="18"/>
                <w:szCs w:val="18"/>
                <w:lang w:eastAsia="zh-CN" w:bidi="hi-IN"/>
              </w:rPr>
            </w:pPr>
            <w:r w:rsidRPr="00D452A8">
              <w:rPr>
                <w:rFonts w:ascii="Arial" w:eastAsia="Times New Roman" w:hAnsi="Arial" w:cs="Arial"/>
                <w:b/>
                <w:bCs/>
                <w:color w:val="16365C"/>
                <w:sz w:val="18"/>
                <w:szCs w:val="18"/>
                <w:lang w:eastAsia="zh-CN" w:bidi="hi-IN"/>
              </w:rPr>
              <w:t>Market penetration at hypergrowth (%)</w:t>
            </w:r>
          </w:p>
        </w:tc>
        <w:tc>
          <w:tcPr>
            <w:tcW w:w="2093" w:type="dxa"/>
            <w:tcBorders>
              <w:top w:val="nil"/>
              <w:left w:val="dotted" w:sz="4" w:space="0" w:color="F79646"/>
              <w:bottom w:val="dotted" w:sz="4" w:space="0" w:color="F79646"/>
              <w:right w:val="dotted" w:sz="4" w:space="0" w:color="F79646"/>
            </w:tcBorders>
            <w:shd w:val="clear" w:color="000000" w:fill="F2FEAC"/>
            <w:noWrap/>
            <w:vAlign w:val="bottom"/>
            <w:hideMark/>
          </w:tcPr>
          <w:p w14:paraId="74B88752"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bookmarkStart w:id="14" w:name="RANGE!F11"/>
            <w:r w:rsidRPr="00D452A8">
              <w:rPr>
                <w:rFonts w:ascii="Calibri" w:eastAsia="Times New Roman" w:hAnsi="Calibri" w:cs="Arial"/>
                <w:b/>
                <w:bCs/>
                <w:i/>
                <w:iCs/>
                <w:color w:val="FA7D00"/>
                <w:lang w:eastAsia="zh-CN" w:bidi="hi-IN"/>
              </w:rPr>
              <w:t>8%</w:t>
            </w:r>
            <w:bookmarkEnd w:id="14"/>
          </w:p>
        </w:tc>
        <w:tc>
          <w:tcPr>
            <w:tcW w:w="2531" w:type="dxa"/>
            <w:tcBorders>
              <w:top w:val="nil"/>
              <w:left w:val="nil"/>
              <w:bottom w:val="dotted" w:sz="4" w:space="0" w:color="F79646"/>
              <w:right w:val="dotted" w:sz="4" w:space="0" w:color="F79646"/>
            </w:tcBorders>
            <w:shd w:val="clear" w:color="000000" w:fill="F2FEAC"/>
            <w:noWrap/>
            <w:vAlign w:val="bottom"/>
            <w:hideMark/>
          </w:tcPr>
          <w:p w14:paraId="662C3A2A" w14:textId="77777777" w:rsidR="00D452A8" w:rsidRPr="00D452A8" w:rsidRDefault="00D452A8" w:rsidP="00D452A8">
            <w:pPr>
              <w:spacing w:after="0" w:line="240" w:lineRule="auto"/>
              <w:jc w:val="right"/>
              <w:rPr>
                <w:rFonts w:ascii="Calibri" w:eastAsia="Times New Roman" w:hAnsi="Calibri" w:cs="Arial"/>
                <w:b/>
                <w:bCs/>
                <w:i/>
                <w:iCs/>
                <w:color w:val="FA7D00"/>
                <w:lang w:eastAsia="zh-CN" w:bidi="hi-IN"/>
              </w:rPr>
            </w:pPr>
            <w:bookmarkStart w:id="15" w:name="RANGE!G11"/>
            <w:r w:rsidRPr="00D452A8">
              <w:rPr>
                <w:rFonts w:ascii="Calibri" w:eastAsia="Times New Roman" w:hAnsi="Calibri" w:cs="Arial"/>
                <w:b/>
                <w:bCs/>
                <w:i/>
                <w:iCs/>
                <w:color w:val="FA7D00"/>
                <w:lang w:eastAsia="zh-CN" w:bidi="hi-IN"/>
              </w:rPr>
              <w:t>8%</w:t>
            </w:r>
            <w:bookmarkEnd w:id="15"/>
          </w:p>
        </w:tc>
      </w:tr>
    </w:tbl>
    <w:p w14:paraId="196A42BA" w14:textId="631DFA73" w:rsidR="00D452A8" w:rsidRDefault="00D452A8" w:rsidP="00D452A8">
      <w:pPr>
        <w:pStyle w:val="Heading3"/>
      </w:pPr>
      <w:r>
        <w:t>Measure life</w:t>
      </w:r>
    </w:p>
    <w:p w14:paraId="1BC15671" w14:textId="4DE063B0" w:rsidR="00D452A8" w:rsidRDefault="00D452A8" w:rsidP="00D452A8">
      <w:r>
        <w:t>Measure life has been held constant at 20 years.</w:t>
      </w:r>
    </w:p>
    <w:p w14:paraId="02D20397" w14:textId="2FE657BB" w:rsidR="00D452A8" w:rsidRDefault="00D452A8" w:rsidP="00D452A8">
      <w:pPr>
        <w:pStyle w:val="Heading3"/>
      </w:pPr>
      <w:r>
        <w:t>Incremental cost per unit</w:t>
      </w:r>
    </w:p>
    <w:p w14:paraId="3EFDF680" w14:textId="0076CFC6" w:rsidR="00D452A8" w:rsidRDefault="00D452A8" w:rsidP="00D452A8">
      <w:r>
        <w:t>Currently is $4.00 per square foot. O&amp;M costs are assumed to be ($0.10) per square foot, resulting in $3.90 per square foot in total.</w:t>
      </w:r>
    </w:p>
    <w:p w14:paraId="30351BC3" w14:textId="0F0DBD75" w:rsidR="00D452A8" w:rsidRDefault="00D452A8" w:rsidP="00D452A8">
      <w:pPr>
        <w:pStyle w:val="Heading3"/>
      </w:pPr>
      <w:r>
        <w:t>EUI</w:t>
      </w:r>
    </w:p>
    <w:p w14:paraId="037A8A06" w14:textId="459AF2C4" w:rsidR="00D452A8" w:rsidRDefault="00D452A8" w:rsidP="00D452A8">
      <w:r>
        <w:t xml:space="preserve">Energy Unit Intensity is </w:t>
      </w:r>
      <w:hyperlink r:id="rId13" w:history="1">
        <w:r w:rsidRPr="00D452A8">
          <w:rPr>
            <w:rStyle w:val="Hyperlink"/>
            <w:rFonts w:ascii="Century Gothic" w:hAnsi="Century Gothic"/>
          </w:rPr>
          <w:t>the 2009 CBSA</w:t>
        </w:r>
      </w:hyperlink>
      <w:r>
        <w:t xml:space="preserve"> commercial building average (Appendix D) which is 16.7 kWh/ft</w:t>
      </w:r>
      <w:r>
        <w:rPr>
          <w:vertAlign w:val="superscript"/>
        </w:rPr>
        <w:t>2</w:t>
      </w:r>
      <w:r w:rsidR="00C70156">
        <w:t>, 0.4 points less than the average office building. I chose this because of the potential for EBR to spread into other building types as well as the fact that 16.7 is more conservative than 17.1.</w:t>
      </w:r>
      <w:r>
        <w:t xml:space="preserve">  </w:t>
      </w:r>
    </w:p>
    <w:p w14:paraId="20772147" w14:textId="77777777" w:rsidR="00AC78E3" w:rsidRDefault="00AC78E3" w:rsidP="00D452A8"/>
    <w:p w14:paraId="7AB7BD58" w14:textId="77777777" w:rsidR="00AC78E3" w:rsidRDefault="00AC78E3">
      <w:r>
        <w:br w:type="page"/>
      </w:r>
    </w:p>
    <w:p w14:paraId="584C1AFF" w14:textId="3412C437" w:rsidR="00AC78E3" w:rsidRDefault="00AC78E3" w:rsidP="00AC78E3">
      <w:pPr>
        <w:pStyle w:val="Heading1"/>
      </w:pPr>
      <w:bookmarkStart w:id="16" w:name="_Ref376264996"/>
      <w:r>
        <w:lastRenderedPageBreak/>
        <w:t>Appendix C</w:t>
      </w:r>
      <w:bookmarkEnd w:id="16"/>
    </w:p>
    <w:p w14:paraId="04DD2CF7" w14:textId="281A9585" w:rsidR="00AC78E3" w:rsidRDefault="00AC78E3" w:rsidP="00AC78E3">
      <w:pPr>
        <w:pStyle w:val="Heading2"/>
      </w:pPr>
      <w:r>
        <w:t>Code interactivity scenarios</w:t>
      </w:r>
    </w:p>
    <w:p w14:paraId="6CB2F2D4" w14:textId="26F0BBE1" w:rsidR="00AC78E3" w:rsidRDefault="00AC78E3" w:rsidP="00AC78E3">
      <w:r>
        <w:t>For transparency’s sake, I’m including the various code interactivity scenarios.</w:t>
      </w:r>
    </w:p>
    <w:tbl>
      <w:tblPr>
        <w:tblStyle w:val="LightGrid-Accent1"/>
        <w:tblW w:w="5000" w:type="pct"/>
        <w:tblLayout w:type="fixed"/>
        <w:tblLook w:val="04A0" w:firstRow="1" w:lastRow="0" w:firstColumn="1" w:lastColumn="0" w:noHBand="0" w:noVBand="1"/>
      </w:tblPr>
      <w:tblGrid>
        <w:gridCol w:w="1638"/>
        <w:gridCol w:w="1151"/>
        <w:gridCol w:w="2089"/>
        <w:gridCol w:w="2340"/>
        <w:gridCol w:w="2646"/>
      </w:tblGrid>
      <w:tr w:rsidR="0034561C" w:rsidRPr="0034561C" w14:paraId="20BC4362" w14:textId="77777777" w:rsidTr="0034561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30" w:type="pct"/>
            <w:noWrap/>
            <w:hideMark/>
          </w:tcPr>
          <w:p w14:paraId="09465831" w14:textId="2C2D8384" w:rsidR="0034561C" w:rsidRPr="0034561C" w:rsidRDefault="0034561C" w:rsidP="0034561C">
            <w:pPr>
              <w:pStyle w:val="Tabledata"/>
              <w:rPr>
                <w:lang w:eastAsia="zh-CN" w:bidi="hi-IN"/>
              </w:rPr>
            </w:pPr>
            <w:r w:rsidRPr="0034561C">
              <w:rPr>
                <w:lang w:eastAsia="zh-CN" w:bidi="hi-IN"/>
              </w:rPr>
              <w:t>Scenario Descriptor</w:t>
            </w:r>
          </w:p>
        </w:tc>
        <w:tc>
          <w:tcPr>
            <w:tcW w:w="583" w:type="pct"/>
            <w:noWrap/>
            <w:hideMark/>
          </w:tcPr>
          <w:p w14:paraId="6AB20094" w14:textId="77777777" w:rsidR="0034561C" w:rsidRPr="0034561C" w:rsidRDefault="0034561C" w:rsidP="0034561C">
            <w:pPr>
              <w:pStyle w:val="Tabledata"/>
              <w:cnfStyle w:val="100000000000" w:firstRow="1" w:lastRow="0" w:firstColumn="0" w:lastColumn="0" w:oddVBand="0" w:evenVBand="0" w:oddHBand="0" w:evenHBand="0" w:firstRowFirstColumn="0" w:firstRowLastColumn="0" w:lastRowFirstColumn="0" w:lastRowLastColumn="0"/>
              <w:rPr>
                <w:lang w:eastAsia="zh-CN" w:bidi="hi-IN"/>
              </w:rPr>
            </w:pPr>
            <w:r w:rsidRPr="0034561C">
              <w:rPr>
                <w:lang w:eastAsia="zh-CN" w:bidi="hi-IN"/>
              </w:rPr>
              <w:t>Category</w:t>
            </w:r>
          </w:p>
        </w:tc>
        <w:tc>
          <w:tcPr>
            <w:tcW w:w="1059" w:type="pct"/>
            <w:noWrap/>
            <w:hideMark/>
          </w:tcPr>
          <w:p w14:paraId="49CD111F" w14:textId="77777777" w:rsidR="0034561C" w:rsidRPr="0034561C" w:rsidRDefault="0034561C" w:rsidP="0034561C">
            <w:pPr>
              <w:pStyle w:val="Tabledata"/>
              <w:cnfStyle w:val="100000000000" w:firstRow="1" w:lastRow="0" w:firstColumn="0" w:lastColumn="0" w:oddVBand="0" w:evenVBand="0" w:oddHBand="0" w:evenHBand="0" w:firstRowFirstColumn="0" w:firstRowLastColumn="0" w:lastRowFirstColumn="0" w:lastRowLastColumn="0"/>
              <w:rPr>
                <w:lang w:eastAsia="zh-CN" w:bidi="hi-IN"/>
              </w:rPr>
            </w:pPr>
            <w:r w:rsidRPr="0034561C">
              <w:rPr>
                <w:lang w:eastAsia="zh-CN" w:bidi="hi-IN"/>
              </w:rPr>
              <w:t>% of savings booked to EBR</w:t>
            </w:r>
          </w:p>
        </w:tc>
        <w:tc>
          <w:tcPr>
            <w:tcW w:w="1186" w:type="pct"/>
            <w:noWrap/>
            <w:hideMark/>
          </w:tcPr>
          <w:p w14:paraId="5B16A68E" w14:textId="77777777" w:rsidR="0034561C" w:rsidRPr="0034561C" w:rsidRDefault="0034561C" w:rsidP="0034561C">
            <w:pPr>
              <w:pStyle w:val="Tabledata"/>
              <w:cnfStyle w:val="100000000000" w:firstRow="1" w:lastRow="0" w:firstColumn="0" w:lastColumn="0" w:oddVBand="0" w:evenVBand="0" w:oddHBand="0" w:evenHBand="0" w:firstRowFirstColumn="0" w:firstRowLastColumn="0" w:lastRowFirstColumn="0" w:lastRowLastColumn="0"/>
              <w:rPr>
                <w:lang w:eastAsia="zh-CN" w:bidi="hi-IN"/>
              </w:rPr>
            </w:pPr>
            <w:r w:rsidRPr="0034561C">
              <w:rPr>
                <w:lang w:eastAsia="zh-CN" w:bidi="hi-IN"/>
              </w:rPr>
              <w:t>% that overlaps with code</w:t>
            </w:r>
          </w:p>
        </w:tc>
        <w:tc>
          <w:tcPr>
            <w:tcW w:w="1341" w:type="pct"/>
            <w:noWrap/>
            <w:hideMark/>
          </w:tcPr>
          <w:p w14:paraId="0F007CB1" w14:textId="77777777" w:rsidR="0034561C" w:rsidRPr="0034561C" w:rsidRDefault="0034561C" w:rsidP="0034561C">
            <w:pPr>
              <w:pStyle w:val="Tabledata"/>
              <w:cnfStyle w:val="100000000000" w:firstRow="1" w:lastRow="0" w:firstColumn="0" w:lastColumn="0" w:oddVBand="0" w:evenVBand="0" w:oddHBand="0" w:evenHBand="0" w:firstRowFirstColumn="0" w:firstRowLastColumn="0" w:lastRowFirstColumn="0" w:lastRowLastColumn="0"/>
              <w:rPr>
                <w:lang w:eastAsia="zh-CN" w:bidi="hi-IN"/>
              </w:rPr>
            </w:pPr>
            <w:r w:rsidRPr="0034561C">
              <w:rPr>
                <w:lang w:eastAsia="zh-CN" w:bidi="hi-IN"/>
              </w:rPr>
              <w:t>% of population in category</w:t>
            </w:r>
          </w:p>
        </w:tc>
      </w:tr>
      <w:tr w:rsidR="0034561C" w:rsidRPr="0034561C" w14:paraId="4BFED3F0" w14:textId="77777777" w:rsidTr="00345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tcBorders>
              <w:top w:val="single" w:sz="18" w:space="0" w:color="4F81BD" w:themeColor="accent1"/>
            </w:tcBorders>
            <w:noWrap/>
            <w:hideMark/>
          </w:tcPr>
          <w:p w14:paraId="7171B91A" w14:textId="77777777" w:rsidR="0034561C" w:rsidRPr="0034561C" w:rsidRDefault="0034561C" w:rsidP="0034561C">
            <w:pPr>
              <w:pStyle w:val="Tabledata"/>
              <w:rPr>
                <w:color w:val="000000"/>
                <w:lang w:eastAsia="zh-CN" w:bidi="hi-IN"/>
              </w:rPr>
            </w:pPr>
            <w:r w:rsidRPr="0034561C">
              <w:rPr>
                <w:color w:val="000000"/>
                <w:lang w:eastAsia="zh-CN" w:bidi="hi-IN"/>
              </w:rPr>
              <w:t>Team's values</w:t>
            </w:r>
          </w:p>
        </w:tc>
        <w:tc>
          <w:tcPr>
            <w:tcW w:w="583" w:type="pct"/>
            <w:tcBorders>
              <w:top w:val="single" w:sz="18" w:space="0" w:color="4F81BD" w:themeColor="accent1"/>
            </w:tcBorders>
            <w:noWrap/>
            <w:hideMark/>
          </w:tcPr>
          <w:p w14:paraId="32D7049F"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color w:val="000000"/>
                <w:lang w:eastAsia="zh-CN" w:bidi="hi-IN"/>
              </w:rPr>
            </w:pPr>
            <w:r w:rsidRPr="0034561C">
              <w:rPr>
                <w:color w:val="000000"/>
                <w:lang w:eastAsia="zh-CN" w:bidi="hi-IN"/>
              </w:rPr>
              <w:t>HVAC</w:t>
            </w:r>
          </w:p>
        </w:tc>
        <w:tc>
          <w:tcPr>
            <w:tcW w:w="1059" w:type="pct"/>
            <w:tcBorders>
              <w:top w:val="single" w:sz="18" w:space="0" w:color="4F81BD" w:themeColor="accent1"/>
            </w:tcBorders>
            <w:noWrap/>
            <w:hideMark/>
          </w:tcPr>
          <w:p w14:paraId="7DD90A12"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40%</w:t>
            </w:r>
          </w:p>
        </w:tc>
        <w:tc>
          <w:tcPr>
            <w:tcW w:w="1186" w:type="pct"/>
            <w:tcBorders>
              <w:top w:val="single" w:sz="18" w:space="0" w:color="4F81BD" w:themeColor="accent1"/>
            </w:tcBorders>
            <w:noWrap/>
            <w:hideMark/>
          </w:tcPr>
          <w:p w14:paraId="0A644B3B"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60%</w:t>
            </w:r>
          </w:p>
        </w:tc>
        <w:tc>
          <w:tcPr>
            <w:tcW w:w="1341" w:type="pct"/>
            <w:tcBorders>
              <w:top w:val="single" w:sz="18" w:space="0" w:color="4F81BD" w:themeColor="accent1"/>
            </w:tcBorders>
            <w:noWrap/>
            <w:hideMark/>
          </w:tcPr>
          <w:p w14:paraId="44A6BF1F"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40%</w:t>
            </w:r>
          </w:p>
        </w:tc>
      </w:tr>
      <w:tr w:rsidR="0034561C" w:rsidRPr="0034561C" w14:paraId="6EE2C97B" w14:textId="77777777" w:rsidTr="0034561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noWrap/>
            <w:hideMark/>
          </w:tcPr>
          <w:p w14:paraId="0A158990" w14:textId="77777777" w:rsidR="0034561C" w:rsidRPr="0034561C" w:rsidRDefault="0034561C" w:rsidP="0034561C">
            <w:pPr>
              <w:pStyle w:val="Tabledata"/>
              <w:rPr>
                <w:color w:val="000000"/>
                <w:lang w:eastAsia="zh-CN" w:bidi="hi-IN"/>
              </w:rPr>
            </w:pPr>
            <w:r w:rsidRPr="0034561C">
              <w:rPr>
                <w:color w:val="000000"/>
                <w:lang w:eastAsia="zh-CN" w:bidi="hi-IN"/>
              </w:rPr>
              <w:t>Team's values</w:t>
            </w:r>
          </w:p>
        </w:tc>
        <w:tc>
          <w:tcPr>
            <w:tcW w:w="583" w:type="pct"/>
            <w:noWrap/>
            <w:hideMark/>
          </w:tcPr>
          <w:p w14:paraId="774B17F3"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color w:val="000000"/>
                <w:lang w:eastAsia="zh-CN" w:bidi="hi-IN"/>
              </w:rPr>
            </w:pPr>
            <w:r w:rsidRPr="0034561C">
              <w:rPr>
                <w:color w:val="000000"/>
                <w:lang w:eastAsia="zh-CN" w:bidi="hi-IN"/>
              </w:rPr>
              <w:t>Envelope</w:t>
            </w:r>
          </w:p>
        </w:tc>
        <w:tc>
          <w:tcPr>
            <w:tcW w:w="1059" w:type="pct"/>
            <w:noWrap/>
            <w:hideMark/>
          </w:tcPr>
          <w:p w14:paraId="16E2BFCA"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100%</w:t>
            </w:r>
          </w:p>
        </w:tc>
        <w:tc>
          <w:tcPr>
            <w:tcW w:w="1186" w:type="pct"/>
            <w:noWrap/>
            <w:hideMark/>
          </w:tcPr>
          <w:p w14:paraId="13E45B43"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0%</w:t>
            </w:r>
          </w:p>
        </w:tc>
        <w:tc>
          <w:tcPr>
            <w:tcW w:w="1341" w:type="pct"/>
            <w:noWrap/>
            <w:hideMark/>
          </w:tcPr>
          <w:p w14:paraId="3A8DD9A1"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25%</w:t>
            </w:r>
          </w:p>
        </w:tc>
      </w:tr>
      <w:tr w:rsidR="0034561C" w:rsidRPr="0034561C" w14:paraId="6EBEFB66" w14:textId="77777777" w:rsidTr="00345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noWrap/>
            <w:hideMark/>
          </w:tcPr>
          <w:p w14:paraId="0D586547" w14:textId="77777777" w:rsidR="0034561C" w:rsidRPr="0034561C" w:rsidRDefault="0034561C" w:rsidP="0034561C">
            <w:pPr>
              <w:pStyle w:val="Tabledata"/>
              <w:rPr>
                <w:color w:val="000000"/>
                <w:lang w:eastAsia="zh-CN" w:bidi="hi-IN"/>
              </w:rPr>
            </w:pPr>
            <w:r w:rsidRPr="0034561C">
              <w:rPr>
                <w:color w:val="000000"/>
                <w:lang w:eastAsia="zh-CN" w:bidi="hi-IN"/>
              </w:rPr>
              <w:t>Team's values</w:t>
            </w:r>
          </w:p>
        </w:tc>
        <w:tc>
          <w:tcPr>
            <w:tcW w:w="583" w:type="pct"/>
            <w:noWrap/>
            <w:hideMark/>
          </w:tcPr>
          <w:p w14:paraId="1332165C"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color w:val="000000"/>
                <w:lang w:eastAsia="zh-CN" w:bidi="hi-IN"/>
              </w:rPr>
            </w:pPr>
            <w:r w:rsidRPr="0034561C">
              <w:rPr>
                <w:color w:val="000000"/>
                <w:lang w:eastAsia="zh-CN" w:bidi="hi-IN"/>
              </w:rPr>
              <w:t>Lighting</w:t>
            </w:r>
          </w:p>
        </w:tc>
        <w:tc>
          <w:tcPr>
            <w:tcW w:w="1059" w:type="pct"/>
            <w:noWrap/>
            <w:hideMark/>
          </w:tcPr>
          <w:p w14:paraId="0390786E"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100%</w:t>
            </w:r>
          </w:p>
        </w:tc>
        <w:tc>
          <w:tcPr>
            <w:tcW w:w="1186" w:type="pct"/>
            <w:noWrap/>
            <w:hideMark/>
          </w:tcPr>
          <w:p w14:paraId="5868BF7E"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0%</w:t>
            </w:r>
          </w:p>
        </w:tc>
        <w:tc>
          <w:tcPr>
            <w:tcW w:w="1341" w:type="pct"/>
            <w:noWrap/>
            <w:hideMark/>
          </w:tcPr>
          <w:p w14:paraId="45873311"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25%</w:t>
            </w:r>
          </w:p>
        </w:tc>
      </w:tr>
      <w:tr w:rsidR="0034561C" w:rsidRPr="0034561C" w14:paraId="3FAF8B4B" w14:textId="77777777" w:rsidTr="0034561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tcBorders>
              <w:bottom w:val="single" w:sz="4" w:space="0" w:color="auto"/>
            </w:tcBorders>
            <w:noWrap/>
            <w:hideMark/>
          </w:tcPr>
          <w:p w14:paraId="2FBF6B4C" w14:textId="77777777" w:rsidR="0034561C" w:rsidRPr="0034561C" w:rsidRDefault="0034561C" w:rsidP="0034561C">
            <w:pPr>
              <w:pStyle w:val="Tabledata"/>
              <w:rPr>
                <w:color w:val="000000"/>
                <w:lang w:eastAsia="zh-CN" w:bidi="hi-IN"/>
              </w:rPr>
            </w:pPr>
            <w:r w:rsidRPr="0034561C">
              <w:rPr>
                <w:color w:val="000000"/>
                <w:lang w:eastAsia="zh-CN" w:bidi="hi-IN"/>
              </w:rPr>
              <w:t>Team's values</w:t>
            </w:r>
          </w:p>
        </w:tc>
        <w:tc>
          <w:tcPr>
            <w:tcW w:w="583" w:type="pct"/>
            <w:tcBorders>
              <w:bottom w:val="single" w:sz="4" w:space="0" w:color="auto"/>
            </w:tcBorders>
            <w:noWrap/>
            <w:hideMark/>
          </w:tcPr>
          <w:p w14:paraId="5D840405"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color w:val="000000"/>
                <w:lang w:eastAsia="zh-CN" w:bidi="hi-IN"/>
              </w:rPr>
            </w:pPr>
            <w:r w:rsidRPr="0034561C">
              <w:rPr>
                <w:color w:val="000000"/>
                <w:lang w:eastAsia="zh-CN" w:bidi="hi-IN"/>
              </w:rPr>
              <w:t>Plug load</w:t>
            </w:r>
          </w:p>
        </w:tc>
        <w:tc>
          <w:tcPr>
            <w:tcW w:w="1059" w:type="pct"/>
            <w:tcBorders>
              <w:bottom w:val="single" w:sz="4" w:space="0" w:color="auto"/>
            </w:tcBorders>
            <w:noWrap/>
            <w:hideMark/>
          </w:tcPr>
          <w:p w14:paraId="2C9B239C"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100%</w:t>
            </w:r>
          </w:p>
        </w:tc>
        <w:tc>
          <w:tcPr>
            <w:tcW w:w="1186" w:type="pct"/>
            <w:tcBorders>
              <w:bottom w:val="single" w:sz="4" w:space="0" w:color="auto"/>
            </w:tcBorders>
            <w:noWrap/>
            <w:hideMark/>
          </w:tcPr>
          <w:p w14:paraId="56B1F1CF"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0%</w:t>
            </w:r>
          </w:p>
        </w:tc>
        <w:tc>
          <w:tcPr>
            <w:tcW w:w="1341" w:type="pct"/>
            <w:tcBorders>
              <w:bottom w:val="single" w:sz="4" w:space="0" w:color="auto"/>
            </w:tcBorders>
            <w:noWrap/>
            <w:hideMark/>
          </w:tcPr>
          <w:p w14:paraId="03967FC0"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10%</w:t>
            </w:r>
          </w:p>
        </w:tc>
      </w:tr>
      <w:tr w:rsidR="0034561C" w:rsidRPr="0034561C" w14:paraId="4CB8C701" w14:textId="77777777" w:rsidTr="00345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tcBorders>
              <w:top w:val="single" w:sz="4" w:space="0" w:color="auto"/>
            </w:tcBorders>
            <w:noWrap/>
            <w:hideMark/>
          </w:tcPr>
          <w:p w14:paraId="4C7F8BF8" w14:textId="77777777" w:rsidR="0034561C" w:rsidRPr="0034561C" w:rsidRDefault="0034561C" w:rsidP="0034561C">
            <w:pPr>
              <w:pStyle w:val="Tabledata"/>
              <w:rPr>
                <w:color w:val="000000"/>
                <w:lang w:eastAsia="zh-CN" w:bidi="hi-IN"/>
              </w:rPr>
            </w:pPr>
            <w:r w:rsidRPr="0034561C">
              <w:rPr>
                <w:color w:val="000000"/>
                <w:lang w:eastAsia="zh-CN" w:bidi="hi-IN"/>
              </w:rPr>
              <w:t>Planner's choice</w:t>
            </w:r>
          </w:p>
        </w:tc>
        <w:tc>
          <w:tcPr>
            <w:tcW w:w="583" w:type="pct"/>
            <w:tcBorders>
              <w:top w:val="single" w:sz="4" w:space="0" w:color="auto"/>
            </w:tcBorders>
            <w:noWrap/>
            <w:hideMark/>
          </w:tcPr>
          <w:p w14:paraId="54298D1F"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color w:val="000000"/>
                <w:lang w:eastAsia="zh-CN" w:bidi="hi-IN"/>
              </w:rPr>
            </w:pPr>
            <w:r w:rsidRPr="0034561C">
              <w:rPr>
                <w:color w:val="000000"/>
                <w:lang w:eastAsia="zh-CN" w:bidi="hi-IN"/>
              </w:rPr>
              <w:t>HVAC</w:t>
            </w:r>
          </w:p>
        </w:tc>
        <w:tc>
          <w:tcPr>
            <w:tcW w:w="1059" w:type="pct"/>
            <w:tcBorders>
              <w:top w:val="single" w:sz="4" w:space="0" w:color="auto"/>
            </w:tcBorders>
            <w:noWrap/>
            <w:hideMark/>
          </w:tcPr>
          <w:p w14:paraId="5917CAE8"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20%</w:t>
            </w:r>
          </w:p>
        </w:tc>
        <w:tc>
          <w:tcPr>
            <w:tcW w:w="1186" w:type="pct"/>
            <w:tcBorders>
              <w:top w:val="single" w:sz="4" w:space="0" w:color="auto"/>
            </w:tcBorders>
            <w:noWrap/>
            <w:hideMark/>
          </w:tcPr>
          <w:p w14:paraId="00D00EA9"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80%</w:t>
            </w:r>
          </w:p>
        </w:tc>
        <w:tc>
          <w:tcPr>
            <w:tcW w:w="1341" w:type="pct"/>
            <w:tcBorders>
              <w:top w:val="single" w:sz="4" w:space="0" w:color="auto"/>
            </w:tcBorders>
            <w:noWrap/>
            <w:hideMark/>
          </w:tcPr>
          <w:p w14:paraId="48CF1DD8"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40%</w:t>
            </w:r>
          </w:p>
        </w:tc>
      </w:tr>
      <w:tr w:rsidR="0034561C" w:rsidRPr="0034561C" w14:paraId="66868B46" w14:textId="77777777" w:rsidTr="0034561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noWrap/>
            <w:hideMark/>
          </w:tcPr>
          <w:p w14:paraId="67B74701" w14:textId="77777777" w:rsidR="0034561C" w:rsidRPr="0034561C" w:rsidRDefault="0034561C" w:rsidP="0034561C">
            <w:pPr>
              <w:pStyle w:val="Tabledata"/>
              <w:rPr>
                <w:color w:val="000000"/>
                <w:lang w:eastAsia="zh-CN" w:bidi="hi-IN"/>
              </w:rPr>
            </w:pPr>
            <w:r w:rsidRPr="0034561C">
              <w:rPr>
                <w:color w:val="000000"/>
                <w:lang w:eastAsia="zh-CN" w:bidi="hi-IN"/>
              </w:rPr>
              <w:t>Planner's choice</w:t>
            </w:r>
          </w:p>
        </w:tc>
        <w:tc>
          <w:tcPr>
            <w:tcW w:w="583" w:type="pct"/>
            <w:noWrap/>
            <w:hideMark/>
          </w:tcPr>
          <w:p w14:paraId="7D2BE2CD"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color w:val="000000"/>
                <w:lang w:eastAsia="zh-CN" w:bidi="hi-IN"/>
              </w:rPr>
            </w:pPr>
            <w:r w:rsidRPr="0034561C">
              <w:rPr>
                <w:color w:val="000000"/>
                <w:lang w:eastAsia="zh-CN" w:bidi="hi-IN"/>
              </w:rPr>
              <w:t>Envelope</w:t>
            </w:r>
          </w:p>
        </w:tc>
        <w:tc>
          <w:tcPr>
            <w:tcW w:w="1059" w:type="pct"/>
            <w:noWrap/>
            <w:hideMark/>
          </w:tcPr>
          <w:p w14:paraId="17A8D2D4"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75%</w:t>
            </w:r>
          </w:p>
        </w:tc>
        <w:tc>
          <w:tcPr>
            <w:tcW w:w="1186" w:type="pct"/>
            <w:noWrap/>
            <w:hideMark/>
          </w:tcPr>
          <w:p w14:paraId="42ACC856"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25%</w:t>
            </w:r>
          </w:p>
        </w:tc>
        <w:tc>
          <w:tcPr>
            <w:tcW w:w="1341" w:type="pct"/>
            <w:noWrap/>
            <w:hideMark/>
          </w:tcPr>
          <w:p w14:paraId="798E635B"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25%</w:t>
            </w:r>
          </w:p>
        </w:tc>
      </w:tr>
      <w:tr w:rsidR="0034561C" w:rsidRPr="0034561C" w14:paraId="239416B2" w14:textId="77777777" w:rsidTr="00345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noWrap/>
            <w:hideMark/>
          </w:tcPr>
          <w:p w14:paraId="5299E7F3" w14:textId="77777777" w:rsidR="0034561C" w:rsidRPr="0034561C" w:rsidRDefault="0034561C" w:rsidP="0034561C">
            <w:pPr>
              <w:pStyle w:val="Tabledata"/>
              <w:rPr>
                <w:color w:val="000000"/>
                <w:lang w:eastAsia="zh-CN" w:bidi="hi-IN"/>
              </w:rPr>
            </w:pPr>
            <w:r w:rsidRPr="0034561C">
              <w:rPr>
                <w:color w:val="000000"/>
                <w:lang w:eastAsia="zh-CN" w:bidi="hi-IN"/>
              </w:rPr>
              <w:t>Planner's choice</w:t>
            </w:r>
          </w:p>
        </w:tc>
        <w:tc>
          <w:tcPr>
            <w:tcW w:w="583" w:type="pct"/>
            <w:noWrap/>
            <w:hideMark/>
          </w:tcPr>
          <w:p w14:paraId="75644837"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color w:val="000000"/>
                <w:lang w:eastAsia="zh-CN" w:bidi="hi-IN"/>
              </w:rPr>
            </w:pPr>
            <w:r w:rsidRPr="0034561C">
              <w:rPr>
                <w:color w:val="000000"/>
                <w:lang w:eastAsia="zh-CN" w:bidi="hi-IN"/>
              </w:rPr>
              <w:t>Lighting</w:t>
            </w:r>
          </w:p>
        </w:tc>
        <w:tc>
          <w:tcPr>
            <w:tcW w:w="1059" w:type="pct"/>
            <w:noWrap/>
            <w:hideMark/>
          </w:tcPr>
          <w:p w14:paraId="23335840"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50%</w:t>
            </w:r>
          </w:p>
        </w:tc>
        <w:tc>
          <w:tcPr>
            <w:tcW w:w="1186" w:type="pct"/>
            <w:noWrap/>
            <w:hideMark/>
          </w:tcPr>
          <w:p w14:paraId="03CD42E1"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50%</w:t>
            </w:r>
          </w:p>
        </w:tc>
        <w:tc>
          <w:tcPr>
            <w:tcW w:w="1341" w:type="pct"/>
            <w:noWrap/>
            <w:hideMark/>
          </w:tcPr>
          <w:p w14:paraId="748B6AFB"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25%</w:t>
            </w:r>
          </w:p>
        </w:tc>
      </w:tr>
      <w:tr w:rsidR="0034561C" w:rsidRPr="0034561C" w14:paraId="6BC4C5BE" w14:textId="77777777" w:rsidTr="0034561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tcBorders>
              <w:bottom w:val="single" w:sz="4" w:space="0" w:color="auto"/>
            </w:tcBorders>
            <w:noWrap/>
            <w:hideMark/>
          </w:tcPr>
          <w:p w14:paraId="033779B8" w14:textId="77777777" w:rsidR="0034561C" w:rsidRPr="0034561C" w:rsidRDefault="0034561C" w:rsidP="0034561C">
            <w:pPr>
              <w:pStyle w:val="Tabledata"/>
              <w:rPr>
                <w:color w:val="000000"/>
                <w:lang w:eastAsia="zh-CN" w:bidi="hi-IN"/>
              </w:rPr>
            </w:pPr>
            <w:r w:rsidRPr="0034561C">
              <w:rPr>
                <w:color w:val="000000"/>
                <w:lang w:eastAsia="zh-CN" w:bidi="hi-IN"/>
              </w:rPr>
              <w:t>Planner's choice</w:t>
            </w:r>
          </w:p>
        </w:tc>
        <w:tc>
          <w:tcPr>
            <w:tcW w:w="583" w:type="pct"/>
            <w:tcBorders>
              <w:bottom w:val="single" w:sz="4" w:space="0" w:color="auto"/>
            </w:tcBorders>
            <w:noWrap/>
            <w:hideMark/>
          </w:tcPr>
          <w:p w14:paraId="02452D2A"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color w:val="000000"/>
                <w:lang w:eastAsia="zh-CN" w:bidi="hi-IN"/>
              </w:rPr>
            </w:pPr>
            <w:r w:rsidRPr="0034561C">
              <w:rPr>
                <w:color w:val="000000"/>
                <w:lang w:eastAsia="zh-CN" w:bidi="hi-IN"/>
              </w:rPr>
              <w:t>Plug load</w:t>
            </w:r>
          </w:p>
        </w:tc>
        <w:tc>
          <w:tcPr>
            <w:tcW w:w="1059" w:type="pct"/>
            <w:tcBorders>
              <w:bottom w:val="single" w:sz="4" w:space="0" w:color="auto"/>
            </w:tcBorders>
            <w:noWrap/>
            <w:hideMark/>
          </w:tcPr>
          <w:p w14:paraId="32E242E8"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100%</w:t>
            </w:r>
          </w:p>
        </w:tc>
        <w:tc>
          <w:tcPr>
            <w:tcW w:w="1186" w:type="pct"/>
            <w:tcBorders>
              <w:bottom w:val="single" w:sz="4" w:space="0" w:color="auto"/>
            </w:tcBorders>
            <w:noWrap/>
            <w:hideMark/>
          </w:tcPr>
          <w:p w14:paraId="2D2D93EC"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0%</w:t>
            </w:r>
          </w:p>
        </w:tc>
        <w:tc>
          <w:tcPr>
            <w:tcW w:w="1341" w:type="pct"/>
            <w:tcBorders>
              <w:bottom w:val="single" w:sz="4" w:space="0" w:color="auto"/>
            </w:tcBorders>
            <w:noWrap/>
            <w:hideMark/>
          </w:tcPr>
          <w:p w14:paraId="4890882B"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10%</w:t>
            </w:r>
          </w:p>
        </w:tc>
      </w:tr>
      <w:tr w:rsidR="0034561C" w:rsidRPr="0034561C" w14:paraId="09804E8E" w14:textId="77777777" w:rsidTr="00345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tcBorders>
              <w:top w:val="single" w:sz="4" w:space="0" w:color="auto"/>
            </w:tcBorders>
            <w:noWrap/>
            <w:hideMark/>
          </w:tcPr>
          <w:p w14:paraId="76E2E7FB" w14:textId="01B3D546" w:rsidR="0034561C" w:rsidRPr="0034561C" w:rsidRDefault="0034561C" w:rsidP="0034561C">
            <w:pPr>
              <w:pStyle w:val="Tabledata"/>
              <w:rPr>
                <w:color w:val="000000"/>
                <w:lang w:eastAsia="zh-CN" w:bidi="hi-IN"/>
              </w:rPr>
            </w:pPr>
            <w:r w:rsidRPr="0034561C">
              <w:rPr>
                <w:color w:val="000000"/>
                <w:lang w:eastAsia="zh-CN" w:bidi="hi-IN"/>
              </w:rPr>
              <w:t xml:space="preserve">No code consideration </w:t>
            </w:r>
          </w:p>
        </w:tc>
        <w:tc>
          <w:tcPr>
            <w:tcW w:w="583" w:type="pct"/>
            <w:tcBorders>
              <w:top w:val="single" w:sz="4" w:space="0" w:color="auto"/>
            </w:tcBorders>
            <w:noWrap/>
            <w:hideMark/>
          </w:tcPr>
          <w:p w14:paraId="79EA7FD7"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color w:val="000000"/>
                <w:lang w:eastAsia="zh-CN" w:bidi="hi-IN"/>
              </w:rPr>
            </w:pPr>
            <w:r w:rsidRPr="0034561C">
              <w:rPr>
                <w:color w:val="000000"/>
                <w:lang w:eastAsia="zh-CN" w:bidi="hi-IN"/>
              </w:rPr>
              <w:t>HVAC</w:t>
            </w:r>
          </w:p>
        </w:tc>
        <w:tc>
          <w:tcPr>
            <w:tcW w:w="1059" w:type="pct"/>
            <w:tcBorders>
              <w:top w:val="single" w:sz="4" w:space="0" w:color="auto"/>
            </w:tcBorders>
            <w:noWrap/>
            <w:hideMark/>
          </w:tcPr>
          <w:p w14:paraId="34375E75"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100%</w:t>
            </w:r>
          </w:p>
        </w:tc>
        <w:tc>
          <w:tcPr>
            <w:tcW w:w="1186" w:type="pct"/>
            <w:tcBorders>
              <w:top w:val="single" w:sz="4" w:space="0" w:color="auto"/>
            </w:tcBorders>
            <w:noWrap/>
            <w:hideMark/>
          </w:tcPr>
          <w:p w14:paraId="4B2F7204"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0%</w:t>
            </w:r>
          </w:p>
        </w:tc>
        <w:tc>
          <w:tcPr>
            <w:tcW w:w="1341" w:type="pct"/>
            <w:tcBorders>
              <w:top w:val="single" w:sz="4" w:space="0" w:color="auto"/>
            </w:tcBorders>
            <w:noWrap/>
            <w:hideMark/>
          </w:tcPr>
          <w:p w14:paraId="7635D02D"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40%</w:t>
            </w:r>
          </w:p>
        </w:tc>
      </w:tr>
      <w:tr w:rsidR="0034561C" w:rsidRPr="0034561C" w14:paraId="4CD486EC" w14:textId="77777777" w:rsidTr="0034561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noWrap/>
            <w:hideMark/>
          </w:tcPr>
          <w:p w14:paraId="1A5248F9" w14:textId="6B099CEB" w:rsidR="0034561C" w:rsidRPr="0034561C" w:rsidRDefault="0034561C" w:rsidP="0034561C">
            <w:pPr>
              <w:pStyle w:val="Tabledata"/>
              <w:rPr>
                <w:color w:val="000000"/>
                <w:lang w:eastAsia="zh-CN" w:bidi="hi-IN"/>
              </w:rPr>
            </w:pPr>
            <w:r w:rsidRPr="0034561C">
              <w:rPr>
                <w:color w:val="000000"/>
                <w:lang w:eastAsia="zh-CN" w:bidi="hi-IN"/>
              </w:rPr>
              <w:t xml:space="preserve">No code consideration </w:t>
            </w:r>
          </w:p>
        </w:tc>
        <w:tc>
          <w:tcPr>
            <w:tcW w:w="583" w:type="pct"/>
            <w:noWrap/>
            <w:hideMark/>
          </w:tcPr>
          <w:p w14:paraId="61C63273"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color w:val="000000"/>
                <w:lang w:eastAsia="zh-CN" w:bidi="hi-IN"/>
              </w:rPr>
            </w:pPr>
            <w:r w:rsidRPr="0034561C">
              <w:rPr>
                <w:color w:val="000000"/>
                <w:lang w:eastAsia="zh-CN" w:bidi="hi-IN"/>
              </w:rPr>
              <w:t>Envelope</w:t>
            </w:r>
          </w:p>
        </w:tc>
        <w:tc>
          <w:tcPr>
            <w:tcW w:w="1059" w:type="pct"/>
            <w:noWrap/>
            <w:hideMark/>
          </w:tcPr>
          <w:p w14:paraId="0B8A5640"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100%</w:t>
            </w:r>
          </w:p>
        </w:tc>
        <w:tc>
          <w:tcPr>
            <w:tcW w:w="1186" w:type="pct"/>
            <w:noWrap/>
            <w:hideMark/>
          </w:tcPr>
          <w:p w14:paraId="551B7B03"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0%</w:t>
            </w:r>
          </w:p>
        </w:tc>
        <w:tc>
          <w:tcPr>
            <w:tcW w:w="1341" w:type="pct"/>
            <w:noWrap/>
            <w:hideMark/>
          </w:tcPr>
          <w:p w14:paraId="1A4B10E9"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25%</w:t>
            </w:r>
          </w:p>
        </w:tc>
      </w:tr>
      <w:tr w:rsidR="0034561C" w:rsidRPr="0034561C" w14:paraId="53FA6C66" w14:textId="77777777" w:rsidTr="00345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noWrap/>
            <w:hideMark/>
          </w:tcPr>
          <w:p w14:paraId="1048E221" w14:textId="6AD5CFF1" w:rsidR="0034561C" w:rsidRPr="0034561C" w:rsidRDefault="0034561C" w:rsidP="0034561C">
            <w:pPr>
              <w:pStyle w:val="Tabledata"/>
              <w:rPr>
                <w:color w:val="000000"/>
                <w:lang w:eastAsia="zh-CN" w:bidi="hi-IN"/>
              </w:rPr>
            </w:pPr>
            <w:r w:rsidRPr="0034561C">
              <w:rPr>
                <w:color w:val="000000"/>
                <w:lang w:eastAsia="zh-CN" w:bidi="hi-IN"/>
              </w:rPr>
              <w:t xml:space="preserve">No code consideration </w:t>
            </w:r>
          </w:p>
        </w:tc>
        <w:tc>
          <w:tcPr>
            <w:tcW w:w="583" w:type="pct"/>
            <w:noWrap/>
            <w:hideMark/>
          </w:tcPr>
          <w:p w14:paraId="5717D006"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color w:val="000000"/>
                <w:lang w:eastAsia="zh-CN" w:bidi="hi-IN"/>
              </w:rPr>
            </w:pPr>
            <w:r w:rsidRPr="0034561C">
              <w:rPr>
                <w:color w:val="000000"/>
                <w:lang w:eastAsia="zh-CN" w:bidi="hi-IN"/>
              </w:rPr>
              <w:t>Lighting</w:t>
            </w:r>
          </w:p>
        </w:tc>
        <w:tc>
          <w:tcPr>
            <w:tcW w:w="1059" w:type="pct"/>
            <w:noWrap/>
            <w:hideMark/>
          </w:tcPr>
          <w:p w14:paraId="47944D52"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100%</w:t>
            </w:r>
          </w:p>
        </w:tc>
        <w:tc>
          <w:tcPr>
            <w:tcW w:w="1186" w:type="pct"/>
            <w:noWrap/>
            <w:hideMark/>
          </w:tcPr>
          <w:p w14:paraId="1F672625"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0%</w:t>
            </w:r>
          </w:p>
        </w:tc>
        <w:tc>
          <w:tcPr>
            <w:tcW w:w="1341" w:type="pct"/>
            <w:noWrap/>
            <w:hideMark/>
          </w:tcPr>
          <w:p w14:paraId="532F2DBC"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25%</w:t>
            </w:r>
          </w:p>
        </w:tc>
      </w:tr>
      <w:tr w:rsidR="0034561C" w:rsidRPr="0034561C" w14:paraId="371A9E01" w14:textId="77777777" w:rsidTr="0034561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tcBorders>
              <w:bottom w:val="single" w:sz="4" w:space="0" w:color="auto"/>
            </w:tcBorders>
            <w:noWrap/>
            <w:hideMark/>
          </w:tcPr>
          <w:p w14:paraId="491D5C7F" w14:textId="279748F6" w:rsidR="0034561C" w:rsidRPr="0034561C" w:rsidRDefault="0034561C" w:rsidP="0034561C">
            <w:pPr>
              <w:pStyle w:val="Tabledata"/>
              <w:rPr>
                <w:color w:val="000000"/>
                <w:lang w:eastAsia="zh-CN" w:bidi="hi-IN"/>
              </w:rPr>
            </w:pPr>
            <w:r w:rsidRPr="0034561C">
              <w:rPr>
                <w:color w:val="000000"/>
                <w:lang w:eastAsia="zh-CN" w:bidi="hi-IN"/>
              </w:rPr>
              <w:t xml:space="preserve">No code consideration </w:t>
            </w:r>
          </w:p>
        </w:tc>
        <w:tc>
          <w:tcPr>
            <w:tcW w:w="583" w:type="pct"/>
            <w:tcBorders>
              <w:bottom w:val="single" w:sz="4" w:space="0" w:color="auto"/>
            </w:tcBorders>
            <w:noWrap/>
            <w:hideMark/>
          </w:tcPr>
          <w:p w14:paraId="06724D01"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color w:val="000000"/>
                <w:lang w:eastAsia="zh-CN" w:bidi="hi-IN"/>
              </w:rPr>
            </w:pPr>
            <w:r w:rsidRPr="0034561C">
              <w:rPr>
                <w:color w:val="000000"/>
                <w:lang w:eastAsia="zh-CN" w:bidi="hi-IN"/>
              </w:rPr>
              <w:t>Plug load</w:t>
            </w:r>
          </w:p>
        </w:tc>
        <w:tc>
          <w:tcPr>
            <w:tcW w:w="1059" w:type="pct"/>
            <w:tcBorders>
              <w:bottom w:val="single" w:sz="4" w:space="0" w:color="auto"/>
            </w:tcBorders>
            <w:noWrap/>
            <w:hideMark/>
          </w:tcPr>
          <w:p w14:paraId="6A00E32C"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100%</w:t>
            </w:r>
          </w:p>
        </w:tc>
        <w:tc>
          <w:tcPr>
            <w:tcW w:w="1186" w:type="pct"/>
            <w:tcBorders>
              <w:bottom w:val="single" w:sz="4" w:space="0" w:color="auto"/>
            </w:tcBorders>
            <w:noWrap/>
            <w:hideMark/>
          </w:tcPr>
          <w:p w14:paraId="3F17F796"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0%</w:t>
            </w:r>
          </w:p>
        </w:tc>
        <w:tc>
          <w:tcPr>
            <w:tcW w:w="1341" w:type="pct"/>
            <w:tcBorders>
              <w:bottom w:val="single" w:sz="4" w:space="0" w:color="auto"/>
            </w:tcBorders>
            <w:noWrap/>
            <w:hideMark/>
          </w:tcPr>
          <w:p w14:paraId="1581FEDA"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10%</w:t>
            </w:r>
          </w:p>
        </w:tc>
      </w:tr>
      <w:tr w:rsidR="0034561C" w:rsidRPr="0034561C" w14:paraId="065E0F4D" w14:textId="77777777" w:rsidTr="00345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tcBorders>
              <w:top w:val="single" w:sz="4" w:space="0" w:color="auto"/>
            </w:tcBorders>
            <w:noWrap/>
            <w:hideMark/>
          </w:tcPr>
          <w:p w14:paraId="132C57AB" w14:textId="77777777" w:rsidR="0034561C" w:rsidRPr="0034561C" w:rsidRDefault="0034561C" w:rsidP="0034561C">
            <w:pPr>
              <w:pStyle w:val="Tabledata"/>
              <w:rPr>
                <w:color w:val="000000"/>
                <w:lang w:eastAsia="zh-CN" w:bidi="hi-IN"/>
              </w:rPr>
            </w:pPr>
            <w:r w:rsidRPr="0034561C">
              <w:rPr>
                <w:color w:val="000000"/>
                <w:lang w:eastAsia="zh-CN" w:bidi="hi-IN"/>
              </w:rPr>
              <w:t>Strict code</w:t>
            </w:r>
          </w:p>
        </w:tc>
        <w:tc>
          <w:tcPr>
            <w:tcW w:w="583" w:type="pct"/>
            <w:tcBorders>
              <w:top w:val="single" w:sz="4" w:space="0" w:color="auto"/>
            </w:tcBorders>
            <w:noWrap/>
            <w:hideMark/>
          </w:tcPr>
          <w:p w14:paraId="272C03A7"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color w:val="000000"/>
                <w:lang w:eastAsia="zh-CN" w:bidi="hi-IN"/>
              </w:rPr>
            </w:pPr>
            <w:r w:rsidRPr="0034561C">
              <w:rPr>
                <w:color w:val="000000"/>
                <w:lang w:eastAsia="zh-CN" w:bidi="hi-IN"/>
              </w:rPr>
              <w:t>HVAC</w:t>
            </w:r>
          </w:p>
        </w:tc>
        <w:tc>
          <w:tcPr>
            <w:tcW w:w="1059" w:type="pct"/>
            <w:tcBorders>
              <w:top w:val="single" w:sz="4" w:space="0" w:color="auto"/>
            </w:tcBorders>
            <w:noWrap/>
            <w:hideMark/>
          </w:tcPr>
          <w:p w14:paraId="5E94F0E9"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0%</w:t>
            </w:r>
          </w:p>
        </w:tc>
        <w:tc>
          <w:tcPr>
            <w:tcW w:w="1186" w:type="pct"/>
            <w:tcBorders>
              <w:top w:val="single" w:sz="4" w:space="0" w:color="auto"/>
            </w:tcBorders>
            <w:noWrap/>
            <w:hideMark/>
          </w:tcPr>
          <w:p w14:paraId="12EB1348" w14:textId="7E7EA795"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i/>
                <w:iCs/>
                <w:lang w:eastAsia="zh-CN" w:bidi="hi-IN"/>
              </w:rPr>
            </w:pPr>
            <w:r w:rsidRPr="0034561C">
              <w:rPr>
                <w:rFonts w:ascii="Calibri" w:hAnsi="Calibri"/>
                <w:i/>
                <w:iCs/>
                <w:lang w:eastAsia="zh-CN" w:bidi="hi-IN"/>
              </w:rPr>
              <w:t>1</w:t>
            </w:r>
            <w:r>
              <w:rPr>
                <w:rFonts w:ascii="Calibri" w:hAnsi="Calibri"/>
                <w:i/>
                <w:iCs/>
                <w:lang w:eastAsia="zh-CN" w:bidi="hi-IN"/>
              </w:rPr>
              <w:t>00%</w:t>
            </w:r>
          </w:p>
        </w:tc>
        <w:tc>
          <w:tcPr>
            <w:tcW w:w="1341" w:type="pct"/>
            <w:tcBorders>
              <w:top w:val="single" w:sz="4" w:space="0" w:color="auto"/>
            </w:tcBorders>
            <w:noWrap/>
            <w:hideMark/>
          </w:tcPr>
          <w:p w14:paraId="5F4F7590"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40%</w:t>
            </w:r>
          </w:p>
        </w:tc>
      </w:tr>
      <w:tr w:rsidR="0034561C" w:rsidRPr="0034561C" w14:paraId="32581551" w14:textId="77777777" w:rsidTr="0034561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noWrap/>
            <w:hideMark/>
          </w:tcPr>
          <w:p w14:paraId="617DA55B" w14:textId="77777777" w:rsidR="0034561C" w:rsidRPr="0034561C" w:rsidRDefault="0034561C" w:rsidP="0034561C">
            <w:pPr>
              <w:pStyle w:val="Tabledata"/>
              <w:rPr>
                <w:color w:val="000000"/>
                <w:lang w:eastAsia="zh-CN" w:bidi="hi-IN"/>
              </w:rPr>
            </w:pPr>
            <w:r w:rsidRPr="0034561C">
              <w:rPr>
                <w:color w:val="000000"/>
                <w:lang w:eastAsia="zh-CN" w:bidi="hi-IN"/>
              </w:rPr>
              <w:t>Strict code</w:t>
            </w:r>
          </w:p>
        </w:tc>
        <w:tc>
          <w:tcPr>
            <w:tcW w:w="583" w:type="pct"/>
            <w:noWrap/>
            <w:hideMark/>
          </w:tcPr>
          <w:p w14:paraId="2C3D9097"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color w:val="000000"/>
                <w:lang w:eastAsia="zh-CN" w:bidi="hi-IN"/>
              </w:rPr>
            </w:pPr>
            <w:r w:rsidRPr="0034561C">
              <w:rPr>
                <w:color w:val="000000"/>
                <w:lang w:eastAsia="zh-CN" w:bidi="hi-IN"/>
              </w:rPr>
              <w:t>Envelope</w:t>
            </w:r>
          </w:p>
        </w:tc>
        <w:tc>
          <w:tcPr>
            <w:tcW w:w="1059" w:type="pct"/>
            <w:noWrap/>
            <w:hideMark/>
          </w:tcPr>
          <w:p w14:paraId="50E0C659"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0%</w:t>
            </w:r>
          </w:p>
        </w:tc>
        <w:tc>
          <w:tcPr>
            <w:tcW w:w="1186" w:type="pct"/>
            <w:noWrap/>
            <w:hideMark/>
          </w:tcPr>
          <w:p w14:paraId="5A2627D6" w14:textId="2FD2154E"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i/>
                <w:iCs/>
                <w:lang w:eastAsia="zh-CN" w:bidi="hi-IN"/>
              </w:rPr>
            </w:pPr>
            <w:r w:rsidRPr="004B2C80">
              <w:rPr>
                <w:rFonts w:ascii="Calibri" w:hAnsi="Calibri"/>
                <w:i/>
                <w:iCs/>
                <w:lang w:eastAsia="zh-CN" w:bidi="hi-IN"/>
              </w:rPr>
              <w:t>100%</w:t>
            </w:r>
          </w:p>
        </w:tc>
        <w:tc>
          <w:tcPr>
            <w:tcW w:w="1341" w:type="pct"/>
            <w:noWrap/>
            <w:hideMark/>
          </w:tcPr>
          <w:p w14:paraId="04D31EFA"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25%</w:t>
            </w:r>
          </w:p>
        </w:tc>
      </w:tr>
      <w:tr w:rsidR="0034561C" w:rsidRPr="0034561C" w14:paraId="6194AA04" w14:textId="77777777" w:rsidTr="0034561C">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noWrap/>
            <w:hideMark/>
          </w:tcPr>
          <w:p w14:paraId="78369C9D" w14:textId="77777777" w:rsidR="0034561C" w:rsidRPr="0034561C" w:rsidRDefault="0034561C" w:rsidP="0034561C">
            <w:pPr>
              <w:pStyle w:val="Tabledata"/>
              <w:rPr>
                <w:color w:val="000000"/>
                <w:lang w:eastAsia="zh-CN" w:bidi="hi-IN"/>
              </w:rPr>
            </w:pPr>
            <w:r w:rsidRPr="0034561C">
              <w:rPr>
                <w:color w:val="000000"/>
                <w:lang w:eastAsia="zh-CN" w:bidi="hi-IN"/>
              </w:rPr>
              <w:t>Strict code</w:t>
            </w:r>
          </w:p>
        </w:tc>
        <w:tc>
          <w:tcPr>
            <w:tcW w:w="583" w:type="pct"/>
            <w:noWrap/>
            <w:hideMark/>
          </w:tcPr>
          <w:p w14:paraId="62232B38"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color w:val="000000"/>
                <w:lang w:eastAsia="zh-CN" w:bidi="hi-IN"/>
              </w:rPr>
            </w:pPr>
            <w:r w:rsidRPr="0034561C">
              <w:rPr>
                <w:color w:val="000000"/>
                <w:lang w:eastAsia="zh-CN" w:bidi="hi-IN"/>
              </w:rPr>
              <w:t>Lighting</w:t>
            </w:r>
          </w:p>
        </w:tc>
        <w:tc>
          <w:tcPr>
            <w:tcW w:w="1059" w:type="pct"/>
            <w:noWrap/>
            <w:hideMark/>
          </w:tcPr>
          <w:p w14:paraId="7A3DEAAB"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0%</w:t>
            </w:r>
          </w:p>
        </w:tc>
        <w:tc>
          <w:tcPr>
            <w:tcW w:w="1186" w:type="pct"/>
            <w:noWrap/>
            <w:hideMark/>
          </w:tcPr>
          <w:p w14:paraId="34608E78" w14:textId="670A193C"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i/>
                <w:iCs/>
                <w:lang w:eastAsia="zh-CN" w:bidi="hi-IN"/>
              </w:rPr>
            </w:pPr>
            <w:r w:rsidRPr="004B2C80">
              <w:rPr>
                <w:rFonts w:ascii="Calibri" w:hAnsi="Calibri"/>
                <w:i/>
                <w:iCs/>
                <w:lang w:eastAsia="zh-CN" w:bidi="hi-IN"/>
              </w:rPr>
              <w:t>100%</w:t>
            </w:r>
          </w:p>
        </w:tc>
        <w:tc>
          <w:tcPr>
            <w:tcW w:w="1341" w:type="pct"/>
            <w:noWrap/>
            <w:hideMark/>
          </w:tcPr>
          <w:p w14:paraId="77465E18" w14:textId="77777777" w:rsidR="0034561C" w:rsidRPr="0034561C" w:rsidRDefault="0034561C" w:rsidP="0034561C">
            <w:pPr>
              <w:pStyle w:val="Tabledata"/>
              <w:cnfStyle w:val="000000100000" w:firstRow="0" w:lastRow="0" w:firstColumn="0" w:lastColumn="0" w:oddVBand="0" w:evenVBand="0" w:oddHBand="1" w:evenHBand="0" w:firstRowFirstColumn="0" w:firstRowLastColumn="0" w:lastRowFirstColumn="0" w:lastRowLastColumn="0"/>
              <w:rPr>
                <w:rFonts w:ascii="Calibri" w:hAnsi="Calibri"/>
                <w:lang w:eastAsia="zh-CN" w:bidi="hi-IN"/>
              </w:rPr>
            </w:pPr>
            <w:r w:rsidRPr="0034561C">
              <w:rPr>
                <w:rFonts w:ascii="Calibri" w:hAnsi="Calibri"/>
                <w:lang w:eastAsia="zh-CN" w:bidi="hi-IN"/>
              </w:rPr>
              <w:t>25%</w:t>
            </w:r>
          </w:p>
        </w:tc>
      </w:tr>
      <w:tr w:rsidR="0034561C" w:rsidRPr="0034561C" w14:paraId="2B780233" w14:textId="77777777" w:rsidTr="0034561C">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30" w:type="pct"/>
            <w:noWrap/>
            <w:hideMark/>
          </w:tcPr>
          <w:p w14:paraId="1F4B397E" w14:textId="77777777" w:rsidR="0034561C" w:rsidRPr="0034561C" w:rsidRDefault="0034561C" w:rsidP="0034561C">
            <w:pPr>
              <w:pStyle w:val="Tabledata"/>
              <w:rPr>
                <w:color w:val="000000"/>
                <w:lang w:eastAsia="zh-CN" w:bidi="hi-IN"/>
              </w:rPr>
            </w:pPr>
            <w:r w:rsidRPr="0034561C">
              <w:rPr>
                <w:color w:val="000000"/>
                <w:lang w:eastAsia="zh-CN" w:bidi="hi-IN"/>
              </w:rPr>
              <w:t>Strict code</w:t>
            </w:r>
          </w:p>
        </w:tc>
        <w:tc>
          <w:tcPr>
            <w:tcW w:w="583" w:type="pct"/>
            <w:noWrap/>
            <w:hideMark/>
          </w:tcPr>
          <w:p w14:paraId="23E948AD"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color w:val="000000"/>
                <w:lang w:eastAsia="zh-CN" w:bidi="hi-IN"/>
              </w:rPr>
            </w:pPr>
            <w:r w:rsidRPr="0034561C">
              <w:rPr>
                <w:color w:val="000000"/>
                <w:lang w:eastAsia="zh-CN" w:bidi="hi-IN"/>
              </w:rPr>
              <w:t>Plug load</w:t>
            </w:r>
          </w:p>
        </w:tc>
        <w:tc>
          <w:tcPr>
            <w:tcW w:w="1059" w:type="pct"/>
            <w:noWrap/>
            <w:hideMark/>
          </w:tcPr>
          <w:p w14:paraId="4795EDA3" w14:textId="77777777"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0%</w:t>
            </w:r>
          </w:p>
        </w:tc>
        <w:tc>
          <w:tcPr>
            <w:tcW w:w="1186" w:type="pct"/>
            <w:noWrap/>
            <w:hideMark/>
          </w:tcPr>
          <w:p w14:paraId="5DCA696B" w14:textId="351B7B76"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i/>
                <w:iCs/>
                <w:lang w:eastAsia="zh-CN" w:bidi="hi-IN"/>
              </w:rPr>
            </w:pPr>
            <w:r w:rsidRPr="004B2C80">
              <w:rPr>
                <w:rFonts w:ascii="Calibri" w:hAnsi="Calibri"/>
                <w:i/>
                <w:iCs/>
                <w:lang w:eastAsia="zh-CN" w:bidi="hi-IN"/>
              </w:rPr>
              <w:t>100%</w:t>
            </w:r>
          </w:p>
        </w:tc>
        <w:tc>
          <w:tcPr>
            <w:tcW w:w="1341" w:type="pct"/>
            <w:noWrap/>
            <w:hideMark/>
          </w:tcPr>
          <w:p w14:paraId="393B1A98" w14:textId="691B1E0A" w:rsidR="0034561C" w:rsidRPr="0034561C" w:rsidRDefault="0034561C" w:rsidP="0034561C">
            <w:pPr>
              <w:pStyle w:val="Tabledata"/>
              <w:cnfStyle w:val="000000010000" w:firstRow="0" w:lastRow="0" w:firstColumn="0" w:lastColumn="0" w:oddVBand="0" w:evenVBand="0" w:oddHBand="0" w:evenHBand="1" w:firstRowFirstColumn="0" w:firstRowLastColumn="0" w:lastRowFirstColumn="0" w:lastRowLastColumn="0"/>
              <w:rPr>
                <w:rFonts w:ascii="Calibri" w:hAnsi="Calibri"/>
                <w:lang w:eastAsia="zh-CN" w:bidi="hi-IN"/>
              </w:rPr>
            </w:pPr>
            <w:r w:rsidRPr="0034561C">
              <w:rPr>
                <w:rFonts w:ascii="Calibri" w:hAnsi="Calibri"/>
                <w:lang w:eastAsia="zh-CN" w:bidi="hi-IN"/>
              </w:rPr>
              <w:t>10%</w:t>
            </w:r>
          </w:p>
        </w:tc>
      </w:tr>
    </w:tbl>
    <w:p w14:paraId="61F9172D" w14:textId="3A381DB4" w:rsidR="0034561C" w:rsidRDefault="0034561C" w:rsidP="00F50809">
      <w:r>
        <w:t xml:space="preserve">The “Teams Values” and “Planner’s Choice” scenarios result in a cross-product that is used to determine the code interactivity.  </w:t>
      </w:r>
      <w:bookmarkStart w:id="17" w:name="_GoBack"/>
      <w:bookmarkEnd w:id="17"/>
    </w:p>
    <w:sectPr w:rsidR="0034561C" w:rsidSect="00BF3230">
      <w:footerReference w:type="even" r:id="rId14"/>
      <w:footerReference w:type="default" r:id="rId15"/>
      <w:headerReference w:type="first" r:id="rId16"/>
      <w:footerReference w:type="first" r:id="rId17"/>
      <w:pgSz w:w="12240" w:h="15840"/>
      <w:pgMar w:top="1440" w:right="1296" w:bottom="720" w:left="129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C5F99" w14:textId="77777777" w:rsidR="00010C57" w:rsidRDefault="00010C57" w:rsidP="00F50809">
      <w:r>
        <w:separator/>
      </w:r>
    </w:p>
  </w:endnote>
  <w:endnote w:type="continuationSeparator" w:id="0">
    <w:p w14:paraId="766189B3" w14:textId="77777777" w:rsidR="00010C57" w:rsidRDefault="00010C57" w:rsidP="00F5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A1BEA" w14:textId="77777777" w:rsidR="0034561C" w:rsidRPr="00BE4B3E" w:rsidRDefault="0034561C" w:rsidP="00F50809">
    <w:pPr>
      <w:pStyle w:val="Footer"/>
      <w:rPr>
        <w:rStyle w:val="PageNumber"/>
        <w:rFonts w:cs="Arial"/>
      </w:rPr>
    </w:pPr>
    <w:r>
      <w:rPr>
        <w:rStyle w:val="PageNumber"/>
      </w:rPr>
      <w:fldChar w:fldCharType="begin"/>
    </w:r>
    <w:r>
      <w:rPr>
        <w:rStyle w:val="PageNumber"/>
      </w:rPr>
      <w:instrText xml:space="preserve">PAGE  </w:instrText>
    </w:r>
    <w:r>
      <w:rPr>
        <w:rStyle w:val="PageNumber"/>
      </w:rPr>
      <w:fldChar w:fldCharType="end"/>
    </w:r>
  </w:p>
  <w:p w14:paraId="2F2DAD8F" w14:textId="77777777" w:rsidR="0034561C" w:rsidRPr="00BE4B3E" w:rsidRDefault="0034561C" w:rsidP="00F508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BD72F" w14:textId="063CD9D1" w:rsidR="0034561C" w:rsidRPr="00E413A2" w:rsidRDefault="005944AD" w:rsidP="00F50809">
    <w:pPr>
      <w:pStyle w:val="Footer"/>
    </w:pPr>
    <w:r>
      <w:tab/>
    </w:r>
    <w:r>
      <w:tab/>
    </w:r>
    <w:r>
      <w:tab/>
    </w:r>
    <w:r>
      <w:tab/>
    </w:r>
    <w:r w:rsidR="0034561C" w:rsidRPr="00E413A2">
      <w:t xml:space="preserve">- </w:t>
    </w:r>
    <w:r w:rsidR="0034561C" w:rsidRPr="00E413A2">
      <w:rPr>
        <w:rStyle w:val="PageNumber"/>
        <w:rFonts w:cs="Arial"/>
        <w:color w:val="3B3D3C"/>
        <w:sz w:val="20"/>
      </w:rPr>
      <w:fldChar w:fldCharType="begin"/>
    </w:r>
    <w:r w:rsidR="0034561C" w:rsidRPr="00E413A2">
      <w:rPr>
        <w:rStyle w:val="PageNumber"/>
        <w:rFonts w:cs="Arial"/>
        <w:color w:val="3B3D3C"/>
        <w:sz w:val="20"/>
      </w:rPr>
      <w:instrText xml:space="preserve">PAGE  </w:instrText>
    </w:r>
    <w:r w:rsidR="0034561C" w:rsidRPr="00E413A2">
      <w:rPr>
        <w:rStyle w:val="PageNumber"/>
        <w:rFonts w:cs="Arial"/>
        <w:color w:val="3B3D3C"/>
        <w:sz w:val="20"/>
      </w:rPr>
      <w:fldChar w:fldCharType="separate"/>
    </w:r>
    <w:r>
      <w:rPr>
        <w:rStyle w:val="PageNumber"/>
        <w:rFonts w:cs="Arial"/>
        <w:noProof/>
        <w:color w:val="3B3D3C"/>
        <w:sz w:val="20"/>
      </w:rPr>
      <w:t>12</w:t>
    </w:r>
    <w:r w:rsidR="0034561C" w:rsidRPr="00E413A2">
      <w:rPr>
        <w:rStyle w:val="PageNumber"/>
        <w:rFonts w:cs="Arial"/>
        <w:color w:val="3B3D3C"/>
        <w:sz w:val="20"/>
      </w:rPr>
      <w:fldChar w:fldCharType="end"/>
    </w:r>
    <w:r w:rsidR="0034561C" w:rsidRPr="00E413A2">
      <w:rPr>
        <w:rStyle w:val="PageNumber"/>
        <w:rFonts w:cs="Arial"/>
        <w:color w:val="3B3D3C"/>
        <w:sz w:val="20"/>
      </w:rPr>
      <w:t xml:space="preserve"> </w:t>
    </w:r>
    <w:r w:rsidR="0034561C" w:rsidRPr="00E413A2">
      <w:t>-</w:t>
    </w:r>
  </w:p>
  <w:p w14:paraId="383B0396" w14:textId="77777777" w:rsidR="0034561C" w:rsidRPr="00E413A2" w:rsidRDefault="0034561C" w:rsidP="00F50809">
    <w:r w:rsidRPr="00E413A2">
      <w:tab/>
      <w:t xml:space="preserve">Northwest Energy Efficiency Alliance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F9BD1" w14:textId="77777777" w:rsidR="0034561C" w:rsidRPr="00AD2B69" w:rsidRDefault="0034561C" w:rsidP="00F65ED3">
    <w:pPr>
      <w:pStyle w:val="Footer"/>
    </w:pPr>
    <w:r w:rsidRPr="00AD2B69">
      <w:t>Northwest Energy Efficiency Alliance</w:t>
    </w:r>
  </w:p>
  <w:p w14:paraId="7689870D" w14:textId="77777777" w:rsidR="0034561C" w:rsidRPr="00AD2B69" w:rsidRDefault="0034561C" w:rsidP="00F65ED3">
    <w:pPr>
      <w:pStyle w:val="Footer"/>
    </w:pPr>
    <w:r w:rsidRPr="00AD2B69">
      <w:t>421 SW Sixth Avenue, Suite 600, Portland, OR 97204</w:t>
    </w:r>
  </w:p>
  <w:p w14:paraId="150EEDBE" w14:textId="77777777" w:rsidR="0034561C" w:rsidRPr="00AD2B69" w:rsidRDefault="0034561C" w:rsidP="00F65ED3">
    <w:pPr>
      <w:pStyle w:val="Footer"/>
      <w:tabs>
        <w:tab w:val="clear" w:pos="1440"/>
        <w:tab w:val="clear" w:pos="1800"/>
        <w:tab w:val="center" w:pos="1350"/>
      </w:tabs>
    </w:pPr>
    <w:r>
      <w:t>503.688.5400</w:t>
    </w:r>
    <w:r>
      <w:tab/>
      <w:t>|</w:t>
    </w:r>
    <w:r>
      <w:tab/>
    </w:r>
    <w:r w:rsidRPr="00AD2B69">
      <w:t>Fax 503.688.5447</w:t>
    </w:r>
  </w:p>
  <w:p w14:paraId="78C35AC7" w14:textId="77777777" w:rsidR="0034561C" w:rsidRPr="004000DE" w:rsidRDefault="00010C57" w:rsidP="00F65ED3">
    <w:pPr>
      <w:pStyle w:val="Footer"/>
      <w:tabs>
        <w:tab w:val="clear" w:pos="1440"/>
        <w:tab w:val="clear" w:pos="1656"/>
        <w:tab w:val="center" w:pos="900"/>
        <w:tab w:val="left" w:pos="1080"/>
      </w:tabs>
      <w:rPr>
        <w:rFonts w:cs="Arial"/>
      </w:rPr>
    </w:pPr>
    <w:hyperlink r:id="rId1" w:history="1">
      <w:r w:rsidR="0034561C" w:rsidRPr="00AD2B69">
        <w:t>neea.org</w:t>
      </w:r>
    </w:hyperlink>
    <w:r w:rsidR="0034561C">
      <w:tab/>
    </w:r>
    <w:r w:rsidR="0034561C" w:rsidRPr="00AD2B69">
      <w:t>|</w:t>
    </w:r>
    <w:r w:rsidR="0034561C">
      <w:tab/>
    </w:r>
    <w:hyperlink r:id="rId2" w:history="1">
      <w:r w:rsidR="0034561C" w:rsidRPr="00AD2B69">
        <w:t>info@neea.org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B41A1" w14:textId="77777777" w:rsidR="00010C57" w:rsidRDefault="00010C57" w:rsidP="00F50809">
      <w:r>
        <w:separator/>
      </w:r>
    </w:p>
  </w:footnote>
  <w:footnote w:type="continuationSeparator" w:id="0">
    <w:p w14:paraId="49E87802" w14:textId="77777777" w:rsidR="00010C57" w:rsidRDefault="00010C57" w:rsidP="00F50809">
      <w:r>
        <w:continuationSeparator/>
      </w:r>
    </w:p>
  </w:footnote>
  <w:footnote w:id="1">
    <w:p w14:paraId="2ADECE3E" w14:textId="77777777" w:rsidR="0034561C" w:rsidRDefault="0034561C" w:rsidP="00D84E67">
      <w:pPr>
        <w:pStyle w:val="FootnoteText"/>
      </w:pPr>
      <w:r>
        <w:rPr>
          <w:rStyle w:val="FootnoteReference"/>
        </w:rPr>
        <w:footnoteRef/>
      </w:r>
      <w:r>
        <w:t xml:space="preserve"> See </w:t>
      </w:r>
      <w:r>
        <w:fldChar w:fldCharType="begin"/>
      </w:r>
      <w:r>
        <w:instrText xml:space="preserve"> REF _Ref376260449 \h </w:instrText>
      </w:r>
      <w:r>
        <w:fldChar w:fldCharType="separate"/>
      </w:r>
      <w:r w:rsidR="004D72F2">
        <w:t>Savings Rate</w:t>
      </w:r>
      <w:r>
        <w:fldChar w:fldCharType="end"/>
      </w:r>
      <w:r>
        <w:t>, below</w:t>
      </w:r>
    </w:p>
  </w:footnote>
  <w:footnote w:id="2">
    <w:p w14:paraId="72E4D79D" w14:textId="58374518" w:rsidR="0034561C" w:rsidRDefault="0034561C">
      <w:pPr>
        <w:pStyle w:val="FootnoteText"/>
      </w:pPr>
      <w:r>
        <w:rPr>
          <w:rStyle w:val="FootnoteReference"/>
        </w:rPr>
        <w:footnoteRef/>
      </w:r>
      <w:r>
        <w:t xml:space="preserve"> See </w:t>
      </w:r>
      <w:r>
        <w:fldChar w:fldCharType="begin"/>
      </w:r>
      <w:r>
        <w:instrText xml:space="preserve"> REF _Ref376260449 \h </w:instrText>
      </w:r>
      <w:r>
        <w:fldChar w:fldCharType="separate"/>
      </w:r>
      <w:r w:rsidR="004D72F2">
        <w:t>Savings Rate</w:t>
      </w:r>
      <w:r>
        <w:fldChar w:fldCharType="end"/>
      </w:r>
      <w:r>
        <w:t>, below</w:t>
      </w:r>
    </w:p>
  </w:footnote>
  <w:footnote w:id="3">
    <w:p w14:paraId="4E34C2D5" w14:textId="0606F6E6" w:rsidR="0034561C" w:rsidRDefault="0034561C">
      <w:pPr>
        <w:pStyle w:val="FootnoteText"/>
      </w:pPr>
      <w:r>
        <w:rPr>
          <w:rStyle w:val="FootnoteReference"/>
        </w:rPr>
        <w:footnoteRef/>
      </w:r>
      <w:r>
        <w:t xml:space="preserve"> The current working model is one that has integrated codes into it.  The structure of the model is fundamentally different than the model that was submitted for Q3 2013 due to the injection of codes and the impacts of the savings rates. </w:t>
      </w:r>
    </w:p>
  </w:footnote>
  <w:footnote w:id="4">
    <w:p w14:paraId="4A4752D1" w14:textId="77777777" w:rsidR="0034561C" w:rsidRDefault="0034561C" w:rsidP="00E7269B">
      <w:r>
        <w:rPr>
          <w:rStyle w:val="FootnoteReference"/>
        </w:rPr>
        <w:footnoteRef/>
      </w:r>
      <w:r>
        <w:t xml:space="preserve"> </w:t>
      </w:r>
      <w:r w:rsidRPr="00E7269B">
        <w:rPr>
          <w:rStyle w:val="FootnoteTextChar"/>
        </w:rPr>
        <w:t>While MT and ID tend to have these smaller buildings in general and the strategy needs to be adjusted to include that, I think that there will be some buildings in OR and WA that will also need a deep energy retrofit and will get them, despite not being in the target market sector.</w:t>
      </w:r>
    </w:p>
    <w:p w14:paraId="52881FA8" w14:textId="0C3AE3F1" w:rsidR="0034561C" w:rsidRDefault="0034561C">
      <w:pPr>
        <w:pStyle w:val="FootnoteText"/>
      </w:pPr>
    </w:p>
  </w:footnote>
  <w:footnote w:id="5">
    <w:p w14:paraId="79CB2B0D" w14:textId="505D7B4D" w:rsidR="0034561C" w:rsidRDefault="0034561C">
      <w:pPr>
        <w:pStyle w:val="FootnoteText"/>
      </w:pPr>
      <w:r>
        <w:rPr>
          <w:rStyle w:val="FootnoteReference"/>
        </w:rPr>
        <w:footnoteRef/>
      </w:r>
      <w:r>
        <w:t xml:space="preserve"> </w:t>
      </w:r>
      <w:r w:rsidRPr="00AF5C08">
        <w:t>In all of my models, unverified inputs are outlined in double-red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7823F" w14:textId="77777777" w:rsidR="0034561C" w:rsidRPr="004000DE" w:rsidRDefault="0034561C" w:rsidP="00ED0564">
    <w:pPr>
      <w:pStyle w:val="Header"/>
      <w:rPr>
        <w:rFonts w:cs="Arial"/>
      </w:rPr>
    </w:pPr>
    <w:r>
      <w:rPr>
        <w:noProof/>
        <w:lang w:eastAsia="zh-CN" w:bidi="hi-IN"/>
      </w:rPr>
      <w:drawing>
        <wp:anchor distT="0" distB="0" distL="114300" distR="114300" simplePos="0" relativeHeight="251657728" behindDoc="0" locked="0" layoutInCell="1" allowOverlap="1" wp14:anchorId="317290C3" wp14:editId="132858DE">
          <wp:simplePos x="0" y="0"/>
          <wp:positionH relativeFrom="column">
            <wp:posOffset>4983480</wp:posOffset>
          </wp:positionH>
          <wp:positionV relativeFrom="paragraph">
            <wp:posOffset>152400</wp:posOffset>
          </wp:positionV>
          <wp:extent cx="1224280" cy="812800"/>
          <wp:effectExtent l="0" t="0" r="0" b="6350"/>
          <wp:wrapTight wrapText="bothSides">
            <wp:wrapPolygon edited="0">
              <wp:start x="0" y="0"/>
              <wp:lineTo x="0" y="21263"/>
              <wp:lineTo x="21174" y="21263"/>
              <wp:lineTo x="21174" y="0"/>
              <wp:lineTo x="0" y="0"/>
            </wp:wrapPolygon>
          </wp:wrapTight>
          <wp:docPr id="2" name="Picture 1" descr="100726_NEEA_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726_NEEA_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8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5D48A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BD88862"/>
    <w:lvl w:ilvl="0">
      <w:start w:val="1"/>
      <w:numFmt w:val="decimal"/>
      <w:lvlText w:val="%1."/>
      <w:lvlJc w:val="left"/>
      <w:pPr>
        <w:tabs>
          <w:tab w:val="num" w:pos="1800"/>
        </w:tabs>
        <w:ind w:left="1800" w:hanging="360"/>
      </w:pPr>
    </w:lvl>
  </w:abstractNum>
  <w:abstractNum w:abstractNumId="2">
    <w:nsid w:val="FFFFFF7D"/>
    <w:multiLevelType w:val="singleLevel"/>
    <w:tmpl w:val="4396531E"/>
    <w:lvl w:ilvl="0">
      <w:start w:val="1"/>
      <w:numFmt w:val="decimal"/>
      <w:lvlText w:val="%1."/>
      <w:lvlJc w:val="left"/>
      <w:pPr>
        <w:tabs>
          <w:tab w:val="num" w:pos="1440"/>
        </w:tabs>
        <w:ind w:left="1440" w:hanging="360"/>
      </w:pPr>
    </w:lvl>
  </w:abstractNum>
  <w:abstractNum w:abstractNumId="3">
    <w:nsid w:val="FFFFFF7E"/>
    <w:multiLevelType w:val="singleLevel"/>
    <w:tmpl w:val="4BA8ED1C"/>
    <w:lvl w:ilvl="0">
      <w:start w:val="1"/>
      <w:numFmt w:val="decimal"/>
      <w:lvlText w:val="%1."/>
      <w:lvlJc w:val="left"/>
      <w:pPr>
        <w:tabs>
          <w:tab w:val="num" w:pos="1080"/>
        </w:tabs>
        <w:ind w:left="1080" w:hanging="360"/>
      </w:pPr>
    </w:lvl>
  </w:abstractNum>
  <w:abstractNum w:abstractNumId="4">
    <w:nsid w:val="FFFFFF7F"/>
    <w:multiLevelType w:val="singleLevel"/>
    <w:tmpl w:val="45B6AC7E"/>
    <w:lvl w:ilvl="0">
      <w:start w:val="1"/>
      <w:numFmt w:val="decimal"/>
      <w:lvlText w:val="%1."/>
      <w:lvlJc w:val="left"/>
      <w:pPr>
        <w:tabs>
          <w:tab w:val="num" w:pos="720"/>
        </w:tabs>
        <w:ind w:left="720" w:hanging="360"/>
      </w:pPr>
    </w:lvl>
  </w:abstractNum>
  <w:abstractNum w:abstractNumId="5">
    <w:nsid w:val="FFFFFF80"/>
    <w:multiLevelType w:val="singleLevel"/>
    <w:tmpl w:val="EF8205F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D9C2544"/>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92438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8F0427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05EA65D6"/>
    <w:lvl w:ilvl="0">
      <w:start w:val="1"/>
      <w:numFmt w:val="decimal"/>
      <w:lvlText w:val="%1."/>
      <w:lvlJc w:val="left"/>
      <w:pPr>
        <w:tabs>
          <w:tab w:val="num" w:pos="360"/>
        </w:tabs>
        <w:ind w:left="360" w:hanging="360"/>
      </w:pPr>
    </w:lvl>
  </w:abstractNum>
  <w:abstractNum w:abstractNumId="10">
    <w:nsid w:val="FFFFFF89"/>
    <w:multiLevelType w:val="singleLevel"/>
    <w:tmpl w:val="A36846E2"/>
    <w:lvl w:ilvl="0">
      <w:start w:val="1"/>
      <w:numFmt w:val="bullet"/>
      <w:lvlText w:val=""/>
      <w:lvlJc w:val="left"/>
      <w:pPr>
        <w:tabs>
          <w:tab w:val="num" w:pos="360"/>
        </w:tabs>
        <w:ind w:left="360" w:hanging="360"/>
      </w:pPr>
      <w:rPr>
        <w:rFonts w:ascii="Symbol" w:hAnsi="Symbol" w:hint="default"/>
      </w:rPr>
    </w:lvl>
  </w:abstractNum>
  <w:abstractNum w:abstractNumId="11">
    <w:nsid w:val="45952D8D"/>
    <w:multiLevelType w:val="hybridMultilevel"/>
    <w:tmpl w:val="89F4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7612E"/>
    <w:multiLevelType w:val="hybridMultilevel"/>
    <w:tmpl w:val="CBF61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7E57EC"/>
    <w:multiLevelType w:val="hybridMultilevel"/>
    <w:tmpl w:val="6024E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DB1385"/>
    <w:multiLevelType w:val="hybridMultilevel"/>
    <w:tmpl w:val="0BA2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672A9E"/>
    <w:multiLevelType w:val="hybridMultilevel"/>
    <w:tmpl w:val="43B4B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7A2C6C"/>
    <w:multiLevelType w:val="hybridMultilevel"/>
    <w:tmpl w:val="CB368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31A38"/>
    <w:multiLevelType w:val="hybridMultilevel"/>
    <w:tmpl w:val="FE44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7"/>
  </w:num>
  <w:num w:numId="14">
    <w:abstractNumId w:val="16"/>
  </w:num>
  <w:num w:numId="15">
    <w:abstractNumId w:val="12"/>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8C"/>
    <w:rsid w:val="00010C57"/>
    <w:rsid w:val="000375C8"/>
    <w:rsid w:val="00046033"/>
    <w:rsid w:val="00051496"/>
    <w:rsid w:val="00076BD7"/>
    <w:rsid w:val="000C2094"/>
    <w:rsid w:val="000D2087"/>
    <w:rsid w:val="000E506D"/>
    <w:rsid w:val="000F30A4"/>
    <w:rsid w:val="00103CE3"/>
    <w:rsid w:val="00137FFB"/>
    <w:rsid w:val="00147293"/>
    <w:rsid w:val="001636E0"/>
    <w:rsid w:val="00176A65"/>
    <w:rsid w:val="001B7394"/>
    <w:rsid w:val="001D20FB"/>
    <w:rsid w:val="001D553B"/>
    <w:rsid w:val="001F0E92"/>
    <w:rsid w:val="00201BCB"/>
    <w:rsid w:val="00210703"/>
    <w:rsid w:val="00291CF9"/>
    <w:rsid w:val="0029250B"/>
    <w:rsid w:val="0029747B"/>
    <w:rsid w:val="002A3DC2"/>
    <w:rsid w:val="0030683A"/>
    <w:rsid w:val="0034561C"/>
    <w:rsid w:val="003904D5"/>
    <w:rsid w:val="0039265C"/>
    <w:rsid w:val="00393728"/>
    <w:rsid w:val="00395FE2"/>
    <w:rsid w:val="00397B10"/>
    <w:rsid w:val="003A72DD"/>
    <w:rsid w:val="003B5755"/>
    <w:rsid w:val="003E47AD"/>
    <w:rsid w:val="003F4787"/>
    <w:rsid w:val="004000DE"/>
    <w:rsid w:val="004233D9"/>
    <w:rsid w:val="00435290"/>
    <w:rsid w:val="00444DE3"/>
    <w:rsid w:val="00455CBB"/>
    <w:rsid w:val="00460B64"/>
    <w:rsid w:val="00475921"/>
    <w:rsid w:val="00480238"/>
    <w:rsid w:val="00484320"/>
    <w:rsid w:val="004B2598"/>
    <w:rsid w:val="004D72F2"/>
    <w:rsid w:val="00510D97"/>
    <w:rsid w:val="0052569B"/>
    <w:rsid w:val="005944AD"/>
    <w:rsid w:val="005A54D3"/>
    <w:rsid w:val="005B36A1"/>
    <w:rsid w:val="005B439E"/>
    <w:rsid w:val="005C59AA"/>
    <w:rsid w:val="005F702A"/>
    <w:rsid w:val="0060255D"/>
    <w:rsid w:val="006528F6"/>
    <w:rsid w:val="00676D3C"/>
    <w:rsid w:val="006A77DB"/>
    <w:rsid w:val="006D42A5"/>
    <w:rsid w:val="006E2D68"/>
    <w:rsid w:val="00761C30"/>
    <w:rsid w:val="007D55F9"/>
    <w:rsid w:val="007D5DBB"/>
    <w:rsid w:val="00840C59"/>
    <w:rsid w:val="00844174"/>
    <w:rsid w:val="008878EA"/>
    <w:rsid w:val="00900FB5"/>
    <w:rsid w:val="009110BA"/>
    <w:rsid w:val="00926D95"/>
    <w:rsid w:val="00944D30"/>
    <w:rsid w:val="00963F56"/>
    <w:rsid w:val="00972172"/>
    <w:rsid w:val="00975A89"/>
    <w:rsid w:val="00990737"/>
    <w:rsid w:val="009A63DA"/>
    <w:rsid w:val="009B698C"/>
    <w:rsid w:val="009C10CB"/>
    <w:rsid w:val="009F61CB"/>
    <w:rsid w:val="00A31F8B"/>
    <w:rsid w:val="00A546E2"/>
    <w:rsid w:val="00A82E4A"/>
    <w:rsid w:val="00AA544D"/>
    <w:rsid w:val="00AC78E3"/>
    <w:rsid w:val="00AE580C"/>
    <w:rsid w:val="00AF5C08"/>
    <w:rsid w:val="00B62B44"/>
    <w:rsid w:val="00B649A7"/>
    <w:rsid w:val="00B64D2F"/>
    <w:rsid w:val="00B8246B"/>
    <w:rsid w:val="00BC027C"/>
    <w:rsid w:val="00BC12BE"/>
    <w:rsid w:val="00BE4B3E"/>
    <w:rsid w:val="00BF3230"/>
    <w:rsid w:val="00BF458D"/>
    <w:rsid w:val="00C43F12"/>
    <w:rsid w:val="00C47375"/>
    <w:rsid w:val="00C509B5"/>
    <w:rsid w:val="00C64DE7"/>
    <w:rsid w:val="00C70156"/>
    <w:rsid w:val="00C92C33"/>
    <w:rsid w:val="00CE61A4"/>
    <w:rsid w:val="00CF5590"/>
    <w:rsid w:val="00D07422"/>
    <w:rsid w:val="00D25077"/>
    <w:rsid w:val="00D452A8"/>
    <w:rsid w:val="00D717ED"/>
    <w:rsid w:val="00D77F2B"/>
    <w:rsid w:val="00D82531"/>
    <w:rsid w:val="00D84E67"/>
    <w:rsid w:val="00DB5C78"/>
    <w:rsid w:val="00E011C9"/>
    <w:rsid w:val="00E40672"/>
    <w:rsid w:val="00E413A2"/>
    <w:rsid w:val="00E55F8C"/>
    <w:rsid w:val="00E638AD"/>
    <w:rsid w:val="00E67333"/>
    <w:rsid w:val="00E7269B"/>
    <w:rsid w:val="00EA6BE6"/>
    <w:rsid w:val="00ED0564"/>
    <w:rsid w:val="00EF3E47"/>
    <w:rsid w:val="00EF45A8"/>
    <w:rsid w:val="00F156A6"/>
    <w:rsid w:val="00F47EF5"/>
    <w:rsid w:val="00F50809"/>
    <w:rsid w:val="00F65ED3"/>
    <w:rsid w:val="00F8767E"/>
    <w:rsid w:val="00FA1E4D"/>
    <w:rsid w:val="00FE4313"/>
    <w:rsid w:val="00FF637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A0C61C"/>
  <w15:docId w15:val="{856451E1-A9A4-4811-87FD-16CCA23E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590"/>
    <w:rPr>
      <w:rFonts w:ascii="Century Gothic" w:hAnsi="Century Gothic"/>
    </w:rPr>
  </w:style>
  <w:style w:type="paragraph" w:styleId="Heading1">
    <w:name w:val="heading 1"/>
    <w:basedOn w:val="Normal"/>
    <w:next w:val="Normal"/>
    <w:link w:val="Heading1Char"/>
    <w:uiPriority w:val="9"/>
    <w:qFormat/>
    <w:rsid w:val="0029250B"/>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900FB5"/>
    <w:pPr>
      <w:keepNext/>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D452A8"/>
    <w:pPr>
      <w:keepNext/>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unhideWhenUsed/>
    <w:qFormat/>
    <w:rsid w:val="00CF5590"/>
    <w:pPr>
      <w:keepNext/>
      <w:spacing w:before="240" w:after="120" w:line="240" w:lineRule="auto"/>
      <w:ind w:left="432"/>
      <w:outlineLvl w:val="3"/>
    </w:pPr>
    <w:rPr>
      <w:bCs/>
      <w:i/>
      <w:smallCaps/>
      <w:spacing w:val="5"/>
      <w:sz w:val="24"/>
      <w:szCs w:val="24"/>
      <w:u w:val="single"/>
    </w:rPr>
  </w:style>
  <w:style w:type="paragraph" w:styleId="Heading5">
    <w:name w:val="heading 5"/>
    <w:basedOn w:val="Normal"/>
    <w:next w:val="Normal"/>
    <w:link w:val="Heading5Char"/>
    <w:uiPriority w:val="9"/>
    <w:unhideWhenUsed/>
    <w:qFormat/>
    <w:rsid w:val="00397B10"/>
    <w:pPr>
      <w:keepNext/>
      <w:spacing w:after="0" w:line="271" w:lineRule="auto"/>
      <w:ind w:left="720"/>
      <w:outlineLvl w:val="4"/>
    </w:pPr>
    <w:rPr>
      <w:b/>
      <w:i/>
      <w:iCs/>
      <w:smallCaps/>
      <w:sz w:val="24"/>
      <w:szCs w:val="24"/>
    </w:rPr>
  </w:style>
  <w:style w:type="paragraph" w:styleId="Heading6">
    <w:name w:val="heading 6"/>
    <w:basedOn w:val="Normal"/>
    <w:next w:val="Normal"/>
    <w:link w:val="Heading6Char"/>
    <w:uiPriority w:val="9"/>
    <w:semiHidden/>
    <w:unhideWhenUsed/>
    <w:qFormat/>
    <w:rsid w:val="0029250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29250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29250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29250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9250B"/>
    <w:pPr>
      <w:spacing w:after="0" w:line="240" w:lineRule="auto"/>
    </w:pPr>
  </w:style>
  <w:style w:type="character" w:customStyle="1" w:styleId="NoSpacingChar">
    <w:name w:val="No Spacing Char"/>
    <w:link w:val="NoSpacing"/>
    <w:uiPriority w:val="1"/>
    <w:rsid w:val="00B85D97"/>
  </w:style>
  <w:style w:type="character" w:styleId="Hyperlink">
    <w:name w:val="Hyperlink"/>
    <w:rsid w:val="00D07422"/>
    <w:rPr>
      <w:rFonts w:ascii="Arial" w:hAnsi="Arial"/>
      <w:color w:val="2A8DC2"/>
      <w:u w:val="single"/>
    </w:rPr>
  </w:style>
  <w:style w:type="character" w:styleId="FollowedHyperlink">
    <w:name w:val="FollowedHyperlink"/>
    <w:rsid w:val="007315C5"/>
    <w:rPr>
      <w:color w:val="2A8DC2"/>
      <w:u w:val="single"/>
    </w:rPr>
  </w:style>
  <w:style w:type="paragraph" w:styleId="Header">
    <w:name w:val="header"/>
    <w:basedOn w:val="Normal"/>
    <w:link w:val="HeaderChar"/>
    <w:rsid w:val="00ED0564"/>
    <w:pPr>
      <w:tabs>
        <w:tab w:val="left" w:pos="1440"/>
        <w:tab w:val="right" w:pos="8640"/>
      </w:tabs>
      <w:spacing w:before="120" w:after="120"/>
      <w:contextualSpacing/>
    </w:pPr>
  </w:style>
  <w:style w:type="character" w:customStyle="1" w:styleId="HeaderChar">
    <w:name w:val="Header Char"/>
    <w:link w:val="Header"/>
    <w:rsid w:val="00ED0564"/>
  </w:style>
  <w:style w:type="paragraph" w:styleId="Footer">
    <w:name w:val="footer"/>
    <w:basedOn w:val="Normal"/>
    <w:link w:val="FooterChar"/>
    <w:rsid w:val="00A82E4A"/>
    <w:pPr>
      <w:tabs>
        <w:tab w:val="center" w:pos="1440"/>
        <w:tab w:val="left" w:pos="1656"/>
        <w:tab w:val="left" w:pos="1800"/>
        <w:tab w:val="center" w:pos="4320"/>
        <w:tab w:val="right" w:pos="8640"/>
      </w:tabs>
      <w:spacing w:after="0"/>
    </w:pPr>
    <w:rPr>
      <w:color w:val="808080"/>
      <w:sz w:val="18"/>
    </w:rPr>
  </w:style>
  <w:style w:type="character" w:customStyle="1" w:styleId="FooterChar">
    <w:name w:val="Footer Char"/>
    <w:link w:val="Footer"/>
    <w:rsid w:val="00A82E4A"/>
    <w:rPr>
      <w:rFonts w:ascii="Century Gothic" w:hAnsi="Century Gothic"/>
      <w:color w:val="808080"/>
      <w:sz w:val="18"/>
    </w:rPr>
  </w:style>
  <w:style w:type="character" w:styleId="PageNumber">
    <w:name w:val="page number"/>
    <w:rsid w:val="00D07422"/>
    <w:rPr>
      <w:rFonts w:ascii="Arial" w:hAnsi="Arial"/>
    </w:rPr>
  </w:style>
  <w:style w:type="paragraph" w:styleId="BalloonText">
    <w:name w:val="Balloon Text"/>
    <w:basedOn w:val="Normal"/>
    <w:link w:val="BalloonTextChar"/>
    <w:rsid w:val="0052569B"/>
    <w:rPr>
      <w:rFonts w:ascii="Tahoma" w:hAnsi="Tahoma" w:cs="Tahoma"/>
      <w:sz w:val="16"/>
      <w:szCs w:val="16"/>
    </w:rPr>
  </w:style>
  <w:style w:type="character" w:customStyle="1" w:styleId="BalloonTextChar">
    <w:name w:val="Balloon Text Char"/>
    <w:link w:val="BalloonText"/>
    <w:rsid w:val="0052569B"/>
    <w:rPr>
      <w:rFonts w:ascii="Tahoma" w:hAnsi="Tahoma" w:cs="Tahoma"/>
      <w:sz w:val="16"/>
      <w:szCs w:val="16"/>
      <w:lang w:eastAsia="en-US"/>
    </w:rPr>
  </w:style>
  <w:style w:type="paragraph" w:styleId="Title">
    <w:name w:val="Title"/>
    <w:basedOn w:val="Normal"/>
    <w:next w:val="Normal"/>
    <w:link w:val="TitleChar"/>
    <w:uiPriority w:val="10"/>
    <w:qFormat/>
    <w:rsid w:val="0029250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29250B"/>
    <w:rPr>
      <w:smallCaps/>
      <w:sz w:val="52"/>
      <w:szCs w:val="52"/>
    </w:rPr>
  </w:style>
  <w:style w:type="character" w:customStyle="1" w:styleId="AllCaps">
    <w:name w:val="AllCaps"/>
    <w:rsid w:val="00475921"/>
    <w:rPr>
      <w:caps/>
    </w:rPr>
  </w:style>
  <w:style w:type="table" w:styleId="TableGrid">
    <w:name w:val="Table Grid"/>
    <w:basedOn w:val="TableNormal"/>
    <w:rsid w:val="00435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250B"/>
    <w:rPr>
      <w:smallCaps/>
      <w:spacing w:val="5"/>
      <w:sz w:val="36"/>
      <w:szCs w:val="36"/>
    </w:rPr>
  </w:style>
  <w:style w:type="character" w:customStyle="1" w:styleId="Heading2Char">
    <w:name w:val="Heading 2 Char"/>
    <w:basedOn w:val="DefaultParagraphFont"/>
    <w:link w:val="Heading2"/>
    <w:uiPriority w:val="9"/>
    <w:rsid w:val="00900FB5"/>
    <w:rPr>
      <w:rFonts w:ascii="Century Gothic" w:hAnsi="Century Gothic"/>
      <w:smallCaps/>
      <w:sz w:val="28"/>
      <w:szCs w:val="28"/>
    </w:rPr>
  </w:style>
  <w:style w:type="character" w:customStyle="1" w:styleId="Heading3Char">
    <w:name w:val="Heading 3 Char"/>
    <w:basedOn w:val="DefaultParagraphFont"/>
    <w:link w:val="Heading3"/>
    <w:uiPriority w:val="9"/>
    <w:rsid w:val="00D452A8"/>
    <w:rPr>
      <w:rFonts w:ascii="Century Gothic" w:hAnsi="Century Gothic"/>
      <w:i/>
      <w:iCs/>
      <w:smallCaps/>
      <w:spacing w:val="5"/>
      <w:sz w:val="26"/>
      <w:szCs w:val="26"/>
    </w:rPr>
  </w:style>
  <w:style w:type="character" w:customStyle="1" w:styleId="Heading4Char">
    <w:name w:val="Heading 4 Char"/>
    <w:basedOn w:val="DefaultParagraphFont"/>
    <w:link w:val="Heading4"/>
    <w:uiPriority w:val="9"/>
    <w:rsid w:val="00CF5590"/>
    <w:rPr>
      <w:rFonts w:ascii="Century Gothic" w:hAnsi="Century Gothic"/>
      <w:bCs/>
      <w:i/>
      <w:smallCaps/>
      <w:spacing w:val="5"/>
      <w:sz w:val="24"/>
      <w:szCs w:val="24"/>
      <w:u w:val="single"/>
    </w:rPr>
  </w:style>
  <w:style w:type="character" w:customStyle="1" w:styleId="Heading5Char">
    <w:name w:val="Heading 5 Char"/>
    <w:basedOn w:val="DefaultParagraphFont"/>
    <w:link w:val="Heading5"/>
    <w:uiPriority w:val="9"/>
    <w:rsid w:val="00397B10"/>
    <w:rPr>
      <w:rFonts w:ascii="Century Gothic" w:hAnsi="Century Gothic"/>
      <w:b/>
      <w:i/>
      <w:iCs/>
      <w:smallCaps/>
      <w:sz w:val="24"/>
      <w:szCs w:val="24"/>
    </w:rPr>
  </w:style>
  <w:style w:type="character" w:customStyle="1" w:styleId="Heading6Char">
    <w:name w:val="Heading 6 Char"/>
    <w:basedOn w:val="DefaultParagraphFont"/>
    <w:link w:val="Heading6"/>
    <w:uiPriority w:val="9"/>
    <w:semiHidden/>
    <w:rsid w:val="0029250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29250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29250B"/>
    <w:rPr>
      <w:b/>
      <w:bCs/>
      <w:color w:val="7F7F7F" w:themeColor="text1" w:themeTint="80"/>
      <w:sz w:val="20"/>
      <w:szCs w:val="20"/>
    </w:rPr>
  </w:style>
  <w:style w:type="character" w:customStyle="1" w:styleId="Heading9Char">
    <w:name w:val="Heading 9 Char"/>
    <w:basedOn w:val="DefaultParagraphFont"/>
    <w:link w:val="Heading9"/>
    <w:uiPriority w:val="9"/>
    <w:semiHidden/>
    <w:rsid w:val="0029250B"/>
    <w:rPr>
      <w:b/>
      <w:bCs/>
      <w:i/>
      <w:iCs/>
      <w:color w:val="7F7F7F" w:themeColor="text1" w:themeTint="80"/>
      <w:sz w:val="18"/>
      <w:szCs w:val="18"/>
    </w:rPr>
  </w:style>
  <w:style w:type="paragraph" w:styleId="Subtitle">
    <w:name w:val="Subtitle"/>
    <w:basedOn w:val="Normal"/>
    <w:next w:val="Normal"/>
    <w:link w:val="SubtitleChar"/>
    <w:uiPriority w:val="11"/>
    <w:qFormat/>
    <w:rsid w:val="0029250B"/>
    <w:rPr>
      <w:i/>
      <w:iCs/>
      <w:smallCaps/>
      <w:spacing w:val="10"/>
      <w:sz w:val="28"/>
      <w:szCs w:val="28"/>
    </w:rPr>
  </w:style>
  <w:style w:type="character" w:customStyle="1" w:styleId="SubtitleChar">
    <w:name w:val="Subtitle Char"/>
    <w:basedOn w:val="DefaultParagraphFont"/>
    <w:link w:val="Subtitle"/>
    <w:uiPriority w:val="11"/>
    <w:rsid w:val="0029250B"/>
    <w:rPr>
      <w:i/>
      <w:iCs/>
      <w:smallCaps/>
      <w:spacing w:val="10"/>
      <w:sz w:val="28"/>
      <w:szCs w:val="28"/>
    </w:rPr>
  </w:style>
  <w:style w:type="character" w:styleId="Strong">
    <w:name w:val="Strong"/>
    <w:uiPriority w:val="22"/>
    <w:qFormat/>
    <w:rsid w:val="0029250B"/>
    <w:rPr>
      <w:b/>
      <w:bCs/>
    </w:rPr>
  </w:style>
  <w:style w:type="character" w:styleId="Emphasis">
    <w:name w:val="Emphasis"/>
    <w:uiPriority w:val="20"/>
    <w:qFormat/>
    <w:rsid w:val="0029250B"/>
    <w:rPr>
      <w:b/>
      <w:bCs/>
      <w:i/>
      <w:iCs/>
      <w:spacing w:val="10"/>
    </w:rPr>
  </w:style>
  <w:style w:type="paragraph" w:styleId="ListParagraph">
    <w:name w:val="List Paragraph"/>
    <w:basedOn w:val="Normal"/>
    <w:uiPriority w:val="34"/>
    <w:qFormat/>
    <w:rsid w:val="0029250B"/>
    <w:pPr>
      <w:ind w:left="720"/>
      <w:contextualSpacing/>
    </w:pPr>
  </w:style>
  <w:style w:type="paragraph" w:styleId="Quote">
    <w:name w:val="Quote"/>
    <w:basedOn w:val="Normal"/>
    <w:next w:val="Normal"/>
    <w:link w:val="QuoteChar"/>
    <w:uiPriority w:val="29"/>
    <w:qFormat/>
    <w:rsid w:val="0029250B"/>
    <w:rPr>
      <w:i/>
      <w:iCs/>
    </w:rPr>
  </w:style>
  <w:style w:type="character" w:customStyle="1" w:styleId="QuoteChar">
    <w:name w:val="Quote Char"/>
    <w:basedOn w:val="DefaultParagraphFont"/>
    <w:link w:val="Quote"/>
    <w:uiPriority w:val="29"/>
    <w:rsid w:val="0029250B"/>
    <w:rPr>
      <w:i/>
      <w:iCs/>
    </w:rPr>
  </w:style>
  <w:style w:type="paragraph" w:styleId="IntenseQuote">
    <w:name w:val="Intense Quote"/>
    <w:basedOn w:val="Normal"/>
    <w:next w:val="Normal"/>
    <w:link w:val="IntenseQuoteChar"/>
    <w:uiPriority w:val="30"/>
    <w:qFormat/>
    <w:rsid w:val="0029250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29250B"/>
    <w:rPr>
      <w:i/>
      <w:iCs/>
    </w:rPr>
  </w:style>
  <w:style w:type="character" w:styleId="SubtleEmphasis">
    <w:name w:val="Subtle Emphasis"/>
    <w:uiPriority w:val="19"/>
    <w:qFormat/>
    <w:rsid w:val="0029250B"/>
    <w:rPr>
      <w:i/>
      <w:iCs/>
    </w:rPr>
  </w:style>
  <w:style w:type="character" w:styleId="IntenseEmphasis">
    <w:name w:val="Intense Emphasis"/>
    <w:uiPriority w:val="21"/>
    <w:qFormat/>
    <w:rsid w:val="0029250B"/>
    <w:rPr>
      <w:b/>
      <w:bCs/>
      <w:i/>
      <w:iCs/>
    </w:rPr>
  </w:style>
  <w:style w:type="character" w:styleId="SubtleReference">
    <w:name w:val="Subtle Reference"/>
    <w:basedOn w:val="DefaultParagraphFont"/>
    <w:uiPriority w:val="31"/>
    <w:qFormat/>
    <w:rsid w:val="0029250B"/>
    <w:rPr>
      <w:smallCaps/>
    </w:rPr>
  </w:style>
  <w:style w:type="character" w:styleId="IntenseReference">
    <w:name w:val="Intense Reference"/>
    <w:uiPriority w:val="32"/>
    <w:qFormat/>
    <w:rsid w:val="0029250B"/>
    <w:rPr>
      <w:b/>
      <w:bCs/>
      <w:smallCaps/>
    </w:rPr>
  </w:style>
  <w:style w:type="character" w:styleId="BookTitle">
    <w:name w:val="Book Title"/>
    <w:basedOn w:val="DefaultParagraphFont"/>
    <w:uiPriority w:val="33"/>
    <w:qFormat/>
    <w:rsid w:val="0029250B"/>
    <w:rPr>
      <w:i/>
      <w:iCs/>
      <w:smallCaps/>
      <w:spacing w:val="5"/>
    </w:rPr>
  </w:style>
  <w:style w:type="paragraph" w:styleId="TOCHeading">
    <w:name w:val="TOC Heading"/>
    <w:basedOn w:val="Heading1"/>
    <w:next w:val="Normal"/>
    <w:uiPriority w:val="39"/>
    <w:semiHidden/>
    <w:unhideWhenUsed/>
    <w:qFormat/>
    <w:rsid w:val="0029250B"/>
    <w:pPr>
      <w:outlineLvl w:val="9"/>
    </w:pPr>
    <w:rPr>
      <w:lang w:bidi="en-US"/>
    </w:rPr>
  </w:style>
  <w:style w:type="table" w:styleId="TableSimple1">
    <w:name w:val="Table Simple 1"/>
    <w:basedOn w:val="TableNormal"/>
    <w:rsid w:val="00444DE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44DE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rsid w:val="00444DE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3">
    <w:name w:val="Light List Accent 3"/>
    <w:basedOn w:val="TableNormal"/>
    <w:uiPriority w:val="61"/>
    <w:rsid w:val="00444DE3"/>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FootnoteText">
    <w:name w:val="footnote text"/>
    <w:basedOn w:val="Normal"/>
    <w:link w:val="FootnoteTextChar"/>
    <w:rsid w:val="00CE61A4"/>
    <w:pPr>
      <w:spacing w:after="0" w:line="240" w:lineRule="auto"/>
    </w:pPr>
    <w:rPr>
      <w:sz w:val="20"/>
      <w:szCs w:val="20"/>
    </w:rPr>
  </w:style>
  <w:style w:type="character" w:customStyle="1" w:styleId="FootnoteTextChar">
    <w:name w:val="Footnote Text Char"/>
    <w:basedOn w:val="DefaultParagraphFont"/>
    <w:link w:val="FootnoteText"/>
    <w:rsid w:val="00CE61A4"/>
    <w:rPr>
      <w:rFonts w:ascii="Century Gothic" w:hAnsi="Century Gothic"/>
      <w:sz w:val="20"/>
      <w:szCs w:val="20"/>
    </w:rPr>
  </w:style>
  <w:style w:type="character" w:styleId="FootnoteReference">
    <w:name w:val="footnote reference"/>
    <w:basedOn w:val="DefaultParagraphFont"/>
    <w:rsid w:val="00CE61A4"/>
    <w:rPr>
      <w:vertAlign w:val="superscript"/>
    </w:rPr>
  </w:style>
  <w:style w:type="table" w:styleId="LightList-Accent1">
    <w:name w:val="Light List Accent 1"/>
    <w:basedOn w:val="TableNormal"/>
    <w:uiPriority w:val="61"/>
    <w:rsid w:val="00CE61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CE61A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Caption">
    <w:name w:val="caption"/>
    <w:basedOn w:val="Normal"/>
    <w:next w:val="Normal"/>
    <w:unhideWhenUsed/>
    <w:rsid w:val="00AA544D"/>
    <w:pPr>
      <w:spacing w:line="240" w:lineRule="auto"/>
    </w:pPr>
    <w:rPr>
      <w:b/>
      <w:bCs/>
      <w:color w:val="4F81BD" w:themeColor="accent1"/>
      <w:sz w:val="18"/>
      <w:szCs w:val="18"/>
    </w:rPr>
  </w:style>
  <w:style w:type="table" w:styleId="LightShading-Accent2">
    <w:name w:val="Light Shading Accent 2"/>
    <w:basedOn w:val="TableNormal"/>
    <w:uiPriority w:val="60"/>
    <w:rsid w:val="00B8246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B8246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TableofFigures">
    <w:name w:val="table of figures"/>
    <w:basedOn w:val="Normal"/>
    <w:next w:val="Normal"/>
    <w:rsid w:val="00CF5590"/>
    <w:pPr>
      <w:spacing w:after="0"/>
    </w:pPr>
  </w:style>
  <w:style w:type="paragraph" w:customStyle="1" w:styleId="Tabledata">
    <w:name w:val="Table data"/>
    <w:basedOn w:val="TableofFigures"/>
    <w:qFormat/>
    <w:rsid w:val="005944AD"/>
    <w:pPr>
      <w:keepNext/>
      <w:keepLines/>
      <w:spacing w:line="240" w:lineRule="auto"/>
    </w:pPr>
    <w:rPr>
      <w:rFonts w:asciiTheme="minorHAnsi" w:hAnsiTheme="minorHAnsi"/>
      <w:sz w:val="20"/>
    </w:rPr>
  </w:style>
  <w:style w:type="table" w:styleId="TableClassic1">
    <w:name w:val="Table Classic 1"/>
    <w:basedOn w:val="TableNormal"/>
    <w:rsid w:val="0034561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Grid-Accent1">
    <w:name w:val="Light Grid Accent 1"/>
    <w:basedOn w:val="TableNormal"/>
    <w:uiPriority w:val="62"/>
    <w:rsid w:val="0034561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947315">
      <w:bodyDiv w:val="1"/>
      <w:marLeft w:val="0"/>
      <w:marRight w:val="0"/>
      <w:marTop w:val="0"/>
      <w:marBottom w:val="0"/>
      <w:divBdr>
        <w:top w:val="none" w:sz="0" w:space="0" w:color="auto"/>
        <w:left w:val="none" w:sz="0" w:space="0" w:color="auto"/>
        <w:bottom w:val="none" w:sz="0" w:space="0" w:color="auto"/>
        <w:right w:val="none" w:sz="0" w:space="0" w:color="auto"/>
      </w:divBdr>
    </w:div>
    <w:div w:id="1630090696">
      <w:bodyDiv w:val="1"/>
      <w:marLeft w:val="0"/>
      <w:marRight w:val="0"/>
      <w:marTop w:val="0"/>
      <w:marBottom w:val="0"/>
      <w:divBdr>
        <w:top w:val="none" w:sz="0" w:space="0" w:color="auto"/>
        <w:left w:val="none" w:sz="0" w:space="0" w:color="auto"/>
        <w:bottom w:val="none" w:sz="0" w:space="0" w:color="auto"/>
        <w:right w:val="none" w:sz="0" w:space="0" w:color="auto"/>
      </w:divBdr>
    </w:div>
    <w:div w:id="17444487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eea.org/docs/reports/2009NorthwestCommercialBuildingStockAssessment021CA220F212.pdf?sfvrsn=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hyperlink" Target="mailto:info@neea.org" TargetMode="External"/><Relationship Id="rId1" Type="http://schemas.openxmlformats.org/officeDocument/2006/relationships/hyperlink" Target="http://www.nee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7DF240C5426D45B20B1BE125F3EE0E" ma:contentTypeVersion="0" ma:contentTypeDescription="Create a new document." ma:contentTypeScope="" ma:versionID="2ba1addefd4c57211b74103aee4f400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91E15FA-A620-45FF-B9F1-4004E1A52E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8AB408-F1D4-44D3-BF37-C9E133A386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25630A-1A12-4918-9181-4A7484C576FB}">
  <ds:schemaRefs>
    <ds:schemaRef ds:uri="http://schemas.microsoft.com/sharepoint/v3/contenttype/forms"/>
  </ds:schemaRefs>
</ds:datastoreItem>
</file>

<file path=customXml/itemProps4.xml><?xml version="1.0" encoding="utf-8"?>
<ds:datastoreItem xmlns:ds="http://schemas.openxmlformats.org/officeDocument/2006/customXml" ds:itemID="{4A2951EC-DF7C-4AC4-905A-B5C928B93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NEEA Memo</vt:lpstr>
    </vt:vector>
  </TitlesOfParts>
  <Company/>
  <LinksUpToDate>false</LinksUpToDate>
  <CharactersWithSpaces>17723</CharactersWithSpaces>
  <SharedDoc>false</SharedDoc>
  <HLinks>
    <vt:vector size="12" baseType="variant">
      <vt:variant>
        <vt:i4>2162716</vt:i4>
      </vt:variant>
      <vt:variant>
        <vt:i4>8</vt:i4>
      </vt:variant>
      <vt:variant>
        <vt:i4>0</vt:i4>
      </vt:variant>
      <vt:variant>
        <vt:i4>5</vt:i4>
      </vt:variant>
      <vt:variant>
        <vt:lpwstr>mailto:info@neea.org</vt:lpwstr>
      </vt:variant>
      <vt:variant>
        <vt:lpwstr/>
      </vt:variant>
      <vt:variant>
        <vt:i4>5439580</vt:i4>
      </vt:variant>
      <vt:variant>
        <vt:i4>5</vt:i4>
      </vt:variant>
      <vt:variant>
        <vt:i4>0</vt:i4>
      </vt:variant>
      <vt:variant>
        <vt:i4>5</vt:i4>
      </vt:variant>
      <vt:variant>
        <vt:lpwstr>http://www.neea.org/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NEEA Memo</dc:title>
  <dc:creator>Çædric Justice</dc:creator>
  <cp:lastModifiedBy>Cedric Justice</cp:lastModifiedBy>
  <cp:revision>3</cp:revision>
  <cp:lastPrinted>2013-12-31T23:08:00Z</cp:lastPrinted>
  <dcterms:created xsi:type="dcterms:W3CDTF">2013-12-31T23:10:00Z</dcterms:created>
  <dcterms:modified xsi:type="dcterms:W3CDTF">2015-01-20T23:52:00Z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0x010100E77DF240C5426D45B20B1BE125F3EE0E</vt:lpwstr>
  </property>
</Properties>
</file>